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A64" w:rsidRPr="00B34A64" w:rsidRDefault="00B34A64" w:rsidP="00B34A64">
      <w:pPr>
        <w:spacing w:before="45" w:after="105" w:line="480" w:lineRule="atLeast"/>
        <w:textAlignment w:val="bottom"/>
        <w:outlineLvl w:val="0"/>
        <w:rPr>
          <w:rFonts w:ascii="Roboto Slab" w:eastAsia="Times New Roman" w:hAnsi="Roboto Slab" w:cs="Times New Roman"/>
          <w:color w:val="FFFFFF"/>
          <w:kern w:val="36"/>
          <w:sz w:val="39"/>
          <w:szCs w:val="39"/>
          <w:lang w:val="es-AR"/>
        </w:rPr>
      </w:pPr>
      <w:r w:rsidRPr="00B34A64">
        <w:rPr>
          <w:rFonts w:ascii="Roboto Slab" w:eastAsia="Times New Roman" w:hAnsi="Roboto Slab" w:cs="Times New Roman"/>
          <w:color w:val="FFFFFF"/>
          <w:kern w:val="36"/>
          <w:sz w:val="39"/>
          <w:szCs w:val="39"/>
          <w:lang w:val="es-AR"/>
        </w:rPr>
        <w:t>Nuevo Pacto de Toledo: arranca la reforma de las pensiones</w:t>
      </w:r>
    </w:p>
    <w:p w:rsidR="00B34A64" w:rsidRPr="00B34A64" w:rsidRDefault="00B34A64" w:rsidP="00B34A64">
      <w:pPr>
        <w:spacing w:after="150" w:line="270" w:lineRule="atLeast"/>
        <w:textAlignment w:val="bottom"/>
        <w:rPr>
          <w:rFonts w:ascii="Arial" w:eastAsia="Times New Roman" w:hAnsi="Arial" w:cs="Arial"/>
          <w:i/>
          <w:iCs/>
          <w:color w:val="FFFFFF"/>
          <w:sz w:val="20"/>
          <w:szCs w:val="20"/>
          <w:lang w:val="es-AR"/>
        </w:rPr>
      </w:pPr>
      <w:r w:rsidRPr="00B34A64">
        <w:rPr>
          <w:rFonts w:ascii="Arial" w:eastAsia="Times New Roman" w:hAnsi="Arial" w:cs="Arial"/>
          <w:i/>
          <w:iCs/>
          <w:color w:val="FFFFFF"/>
          <w:sz w:val="20"/>
          <w:szCs w:val="20"/>
          <w:lang w:val="es-AR"/>
        </w:rPr>
        <w:t>La comisión del Pacto destaca la necesidad de favorecer la inclusión de sus trabajadores dentro del sistema, para combatir la economía informal y garantizar su protección social.</w:t>
      </w:r>
    </w:p>
    <w:p w:rsidR="00B34A64" w:rsidRPr="00B34A64" w:rsidRDefault="00B34A64" w:rsidP="00B34A64">
      <w:pPr>
        <w:spacing w:after="0" w:line="240" w:lineRule="auto"/>
        <w:textAlignment w:val="bottom"/>
        <w:rPr>
          <w:rFonts w:ascii="Arial" w:eastAsia="Times New Roman" w:hAnsi="Arial" w:cs="Arial"/>
          <w:color w:val="FFFFFF"/>
          <w:sz w:val="17"/>
          <w:szCs w:val="17"/>
          <w:lang w:val="es-AR"/>
        </w:rPr>
      </w:pPr>
      <w:r w:rsidRPr="00B34A64">
        <w:rPr>
          <w:rFonts w:ascii="Arial" w:eastAsia="Times New Roman" w:hAnsi="Arial" w:cs="Arial"/>
          <w:color w:val="FFFFFF"/>
          <w:sz w:val="17"/>
          <w:szCs w:val="17"/>
          <w:lang w:val="es-AR"/>
        </w:rPr>
        <w:t>Por</w:t>
      </w:r>
    </w:p>
    <w:p w:rsidR="00B34A64" w:rsidRPr="00B34A64" w:rsidRDefault="00B34A64" w:rsidP="00B34A64">
      <w:pPr>
        <w:spacing w:after="0" w:line="240" w:lineRule="auto"/>
        <w:textAlignment w:val="bottom"/>
        <w:rPr>
          <w:rFonts w:ascii="Arial" w:eastAsia="Times New Roman" w:hAnsi="Arial" w:cs="Arial"/>
          <w:color w:val="FFFFFF"/>
          <w:sz w:val="17"/>
          <w:szCs w:val="17"/>
          <w:lang w:val="es-AR"/>
        </w:rPr>
      </w:pPr>
      <w:r w:rsidRPr="00B34A64">
        <w:rPr>
          <w:rFonts w:ascii="Arial" w:eastAsia="Times New Roman" w:hAnsi="Arial" w:cs="Arial"/>
          <w:color w:val="FFFFFF"/>
          <w:sz w:val="17"/>
          <w:szCs w:val="17"/>
          <w:lang w:val="es-AR"/>
        </w:rPr>
        <w:t> </w:t>
      </w:r>
      <w:hyperlink r:id="rId5" w:history="1">
        <w:r w:rsidRPr="00B34A64">
          <w:rPr>
            <w:rFonts w:ascii="Arial" w:eastAsia="Times New Roman" w:hAnsi="Arial" w:cs="Arial"/>
            <w:b/>
            <w:bCs/>
            <w:color w:val="FFFFFF"/>
            <w:sz w:val="17"/>
            <w:szCs w:val="17"/>
            <w:lang w:val="es-AR"/>
          </w:rPr>
          <w:t>Redacción</w:t>
        </w:r>
      </w:hyperlink>
    </w:p>
    <w:p w:rsidR="00B34A64" w:rsidRPr="00B34A64" w:rsidRDefault="00B34A64" w:rsidP="00B34A64">
      <w:pPr>
        <w:spacing w:after="0" w:line="240" w:lineRule="auto"/>
        <w:textAlignment w:val="bottom"/>
        <w:rPr>
          <w:rFonts w:ascii="Arial" w:eastAsia="Times New Roman" w:hAnsi="Arial" w:cs="Arial"/>
          <w:color w:val="FFFFFF"/>
          <w:sz w:val="17"/>
          <w:szCs w:val="17"/>
          <w:lang w:val="es-AR"/>
        </w:rPr>
      </w:pPr>
      <w:r w:rsidRPr="00B34A64">
        <w:rPr>
          <w:rFonts w:ascii="Arial" w:eastAsia="Times New Roman" w:hAnsi="Arial" w:cs="Arial"/>
          <w:color w:val="FFFFFF"/>
          <w:sz w:val="17"/>
          <w:szCs w:val="17"/>
          <w:lang w:val="es-AR"/>
        </w:rPr>
        <w:t> -</w:t>
      </w:r>
    </w:p>
    <w:p w:rsidR="00B34A64" w:rsidRPr="00B34A64" w:rsidRDefault="00B34A64" w:rsidP="00B34A64">
      <w:pPr>
        <w:spacing w:after="75" w:line="240" w:lineRule="auto"/>
        <w:textAlignment w:val="bottom"/>
        <w:rPr>
          <w:rFonts w:ascii="Arial" w:eastAsia="Times New Roman" w:hAnsi="Arial" w:cs="Arial"/>
          <w:color w:val="000000"/>
          <w:sz w:val="17"/>
          <w:szCs w:val="17"/>
          <w:lang w:val="es-AR"/>
        </w:rPr>
      </w:pPr>
      <w:r w:rsidRPr="00B34A64">
        <w:rPr>
          <w:rFonts w:ascii="Arial" w:eastAsia="Times New Roman" w:hAnsi="Arial" w:cs="Arial"/>
          <w:color w:val="FFFFFF"/>
          <w:sz w:val="17"/>
          <w:szCs w:val="17"/>
          <w:lang w:val="es-AR"/>
        </w:rPr>
        <w:t>octubre 27, 2020</w:t>
      </w:r>
    </w:p>
    <w:p w:rsidR="00B34A64" w:rsidRPr="00B34A64" w:rsidRDefault="00B34A64" w:rsidP="00B34A64">
      <w:pPr>
        <w:shd w:val="clear" w:color="auto" w:fill="FFFFFF"/>
        <w:spacing w:after="390" w:line="390" w:lineRule="atLeast"/>
        <w:rPr>
          <w:rFonts w:ascii="Verdana" w:eastAsia="Times New Roman" w:hAnsi="Verdana" w:cs="Times New Roman"/>
          <w:color w:val="222222"/>
          <w:sz w:val="23"/>
          <w:szCs w:val="23"/>
          <w:lang w:val="es-AR"/>
        </w:rPr>
      </w:pPr>
      <w:r w:rsidRPr="00B34A64">
        <w:rPr>
          <w:rFonts w:ascii="Verdana" w:eastAsia="Times New Roman" w:hAnsi="Verdana" w:cs="Times New Roman"/>
          <w:color w:val="222222"/>
          <w:sz w:val="23"/>
          <w:szCs w:val="23"/>
          <w:lang w:val="es-AR"/>
        </w:rPr>
        <w:t>Tras más de cuatro años de reuniones, la </w:t>
      </w:r>
      <w:hyperlink r:id="rId6" w:tgtFrame="_blank" w:history="1">
        <w:r w:rsidRPr="00B34A64">
          <w:rPr>
            <w:rFonts w:ascii="Verdana" w:eastAsia="Times New Roman" w:hAnsi="Verdana" w:cs="Times New Roman"/>
            <w:color w:val="3949AB"/>
            <w:sz w:val="23"/>
            <w:szCs w:val="23"/>
            <w:lang w:val="es-AR"/>
          </w:rPr>
          <w:t>Comisión</w:t>
        </w:r>
      </w:hyperlink>
      <w:r w:rsidRPr="00B34A64">
        <w:rPr>
          <w:rFonts w:ascii="Verdana" w:eastAsia="Times New Roman" w:hAnsi="Verdana" w:cs="Times New Roman"/>
          <w:color w:val="222222"/>
          <w:sz w:val="23"/>
          <w:szCs w:val="23"/>
          <w:lang w:val="es-AR"/>
        </w:rPr>
        <w:t> no permanente de seguimiento y evaluación de los acuerdos del Pacto de Toledo ha cerrado y </w:t>
      </w:r>
      <w:hyperlink r:id="rId7" w:tgtFrame="_blank" w:history="1">
        <w:r w:rsidRPr="00B34A64">
          <w:rPr>
            <w:rFonts w:ascii="Verdana" w:eastAsia="Times New Roman" w:hAnsi="Verdana" w:cs="Times New Roman"/>
            <w:color w:val="3949AB"/>
            <w:sz w:val="23"/>
            <w:szCs w:val="23"/>
            <w:lang w:val="es-AR"/>
          </w:rPr>
          <w:t>aprobado</w:t>
        </w:r>
      </w:hyperlink>
      <w:r w:rsidRPr="00B34A64">
        <w:rPr>
          <w:rFonts w:ascii="Verdana" w:eastAsia="Times New Roman" w:hAnsi="Verdana" w:cs="Times New Roman"/>
          <w:color w:val="222222"/>
          <w:sz w:val="23"/>
          <w:szCs w:val="23"/>
          <w:lang w:val="es-AR"/>
        </w:rPr>
        <w:t> su informe para la reforma del sistema público de pensiones. El documento se eleva ahora al Pleno de la Cámara, donde se votará para ser convertido en norma.</w:t>
      </w:r>
    </w:p>
    <w:p w:rsidR="00B34A64" w:rsidRPr="00B34A64" w:rsidRDefault="00B34A64" w:rsidP="00B34A64">
      <w:pPr>
        <w:shd w:val="clear" w:color="auto" w:fill="FFFFFF"/>
        <w:spacing w:before="450" w:after="300" w:line="570" w:lineRule="atLeast"/>
        <w:outlineLvl w:val="1"/>
        <w:rPr>
          <w:rFonts w:ascii="Arial" w:eastAsia="Times New Roman" w:hAnsi="Arial" w:cs="Arial"/>
          <w:color w:val="111111"/>
          <w:sz w:val="41"/>
          <w:szCs w:val="41"/>
          <w:lang w:val="es-AR"/>
        </w:rPr>
      </w:pPr>
      <w:r w:rsidRPr="00B34A64">
        <w:rPr>
          <w:rFonts w:ascii="Arial" w:eastAsia="Times New Roman" w:hAnsi="Arial" w:cs="Arial"/>
          <w:color w:val="111111"/>
          <w:sz w:val="41"/>
          <w:szCs w:val="41"/>
          <w:lang w:val="es-AR"/>
        </w:rPr>
        <w:t>Mantener la solidaridad, la equidad y la suficiencia</w:t>
      </w:r>
    </w:p>
    <w:p w:rsidR="00B34A64" w:rsidRPr="00B34A64" w:rsidRDefault="00B34A64" w:rsidP="00B34A64">
      <w:pPr>
        <w:shd w:val="clear" w:color="auto" w:fill="FFFFFF"/>
        <w:spacing w:after="390" w:line="390" w:lineRule="atLeast"/>
        <w:rPr>
          <w:rFonts w:ascii="Verdana" w:eastAsia="Times New Roman" w:hAnsi="Verdana" w:cs="Times New Roman"/>
          <w:color w:val="222222"/>
          <w:sz w:val="23"/>
          <w:szCs w:val="23"/>
          <w:lang w:val="es-AR"/>
        </w:rPr>
      </w:pPr>
      <w:r w:rsidRPr="00B34A64">
        <w:rPr>
          <w:rFonts w:ascii="Verdana" w:eastAsia="Times New Roman" w:hAnsi="Verdana" w:cs="Times New Roman"/>
          <w:color w:val="222222"/>
          <w:sz w:val="23"/>
          <w:szCs w:val="23"/>
          <w:lang w:val="es-AR"/>
        </w:rPr>
        <w:t>El documento, que no es sino una hoja de ruta para el legislador dado el carácter no legislativo de la comisión, incluye una </w:t>
      </w:r>
      <w:r w:rsidRPr="00B34A64">
        <w:rPr>
          <w:rFonts w:ascii="Verdana" w:eastAsia="Times New Roman" w:hAnsi="Verdana" w:cs="Times New Roman"/>
          <w:b/>
          <w:bCs/>
          <w:color w:val="222222"/>
          <w:sz w:val="23"/>
          <w:szCs w:val="23"/>
          <w:lang w:val="es-AR"/>
        </w:rPr>
        <w:t>recomendación 0</w:t>
      </w:r>
      <w:r w:rsidRPr="00B34A64">
        <w:rPr>
          <w:rFonts w:ascii="Verdana" w:eastAsia="Times New Roman" w:hAnsi="Verdana" w:cs="Times New Roman"/>
          <w:color w:val="222222"/>
          <w:sz w:val="23"/>
          <w:szCs w:val="23"/>
          <w:lang w:val="es-AR"/>
        </w:rPr>
        <w:t xml:space="preserve"> (“Consideración preliminar”), que ratifica las reglas básicas para el sistema público de pensiones, subrayando la </w:t>
      </w:r>
      <w:r w:rsidRPr="00B34A64">
        <w:rPr>
          <w:rFonts w:ascii="Verdana" w:eastAsia="Times New Roman" w:hAnsi="Verdana" w:cs="Times New Roman"/>
          <w:b/>
          <w:color w:val="222222"/>
          <w:sz w:val="28"/>
          <w:szCs w:val="28"/>
          <w:lang w:val="es-AR"/>
        </w:rPr>
        <w:t>oposición</w:t>
      </w:r>
      <w:r w:rsidRPr="00B34A64">
        <w:rPr>
          <w:rFonts w:ascii="Verdana" w:eastAsia="Times New Roman" w:hAnsi="Verdana" w:cs="Times New Roman"/>
          <w:color w:val="222222"/>
          <w:sz w:val="23"/>
          <w:szCs w:val="23"/>
          <w:lang w:val="es-AR"/>
        </w:rPr>
        <w:t xml:space="preserve"> del Pacto de Toledo a una “transformación radical” del sistema, </w:t>
      </w:r>
      <w:r w:rsidRPr="00B34A64">
        <w:rPr>
          <w:rFonts w:ascii="Verdana" w:eastAsia="Times New Roman" w:hAnsi="Verdana" w:cs="Times New Roman"/>
          <w:b/>
          <w:color w:val="222222"/>
          <w:sz w:val="23"/>
          <w:szCs w:val="23"/>
          <w:lang w:val="es-AR"/>
        </w:rPr>
        <w:t>que rompa con principios como los de solidaridad, suficiencia o equidad.</w:t>
      </w:r>
    </w:p>
    <w:p w:rsidR="00B34A64" w:rsidRPr="00B34A64" w:rsidRDefault="00B34A64" w:rsidP="00B34A64">
      <w:pPr>
        <w:shd w:val="clear" w:color="auto" w:fill="FFFFFF"/>
        <w:spacing w:after="390" w:line="390" w:lineRule="atLeast"/>
        <w:rPr>
          <w:rFonts w:ascii="Verdana" w:eastAsia="Times New Roman" w:hAnsi="Verdana" w:cs="Times New Roman"/>
          <w:color w:val="222222"/>
          <w:sz w:val="23"/>
          <w:szCs w:val="23"/>
          <w:lang w:val="es-AR"/>
        </w:rPr>
      </w:pPr>
      <w:r w:rsidRPr="00B34A64">
        <w:rPr>
          <w:rFonts w:ascii="Verdana" w:eastAsia="Times New Roman" w:hAnsi="Verdana" w:cs="Times New Roman"/>
          <w:color w:val="222222"/>
          <w:sz w:val="23"/>
          <w:szCs w:val="23"/>
          <w:lang w:val="es-AR"/>
        </w:rPr>
        <w:t>Aunque descarta el cambio hacia un modelo de capitalización, sí apuesta por sistemas de previsión complementarios, especialmente los </w:t>
      </w:r>
      <w:hyperlink r:id="rId8" w:anchor=":%7E:text=Los%20planes%20de%20pensiones%20de%20empleo%20(PPE)%20son%20sistemas%20de,en%20beneficio%20de%20sus%20empleados." w:tgtFrame="_blank" w:history="1">
        <w:r w:rsidRPr="00B34A64">
          <w:rPr>
            <w:rFonts w:ascii="Verdana" w:eastAsia="Times New Roman" w:hAnsi="Verdana" w:cs="Times New Roman"/>
            <w:color w:val="3949AB"/>
            <w:sz w:val="23"/>
            <w:szCs w:val="23"/>
            <w:lang w:val="es-AR"/>
          </w:rPr>
          <w:t>planes de pensiones de empleo</w:t>
        </w:r>
      </w:hyperlink>
      <w:r w:rsidRPr="00B34A64">
        <w:rPr>
          <w:rFonts w:ascii="Verdana" w:eastAsia="Times New Roman" w:hAnsi="Verdana" w:cs="Times New Roman"/>
          <w:color w:val="222222"/>
          <w:sz w:val="23"/>
          <w:szCs w:val="23"/>
          <w:lang w:val="es-AR"/>
        </w:rPr>
        <w:t> (PPE) a través de la negociación colectiva </w:t>
      </w:r>
      <w:r w:rsidRPr="00B34A64">
        <w:rPr>
          <w:rFonts w:ascii="Verdana" w:eastAsia="Times New Roman" w:hAnsi="Verdana" w:cs="Times New Roman"/>
          <w:b/>
          <w:bCs/>
          <w:color w:val="222222"/>
          <w:sz w:val="23"/>
          <w:szCs w:val="23"/>
          <w:lang w:val="es-AR"/>
        </w:rPr>
        <w:t>(recomendación 16)</w:t>
      </w:r>
      <w:r w:rsidRPr="00B34A64">
        <w:rPr>
          <w:rFonts w:ascii="Verdana" w:eastAsia="Times New Roman" w:hAnsi="Verdana" w:cs="Times New Roman"/>
          <w:color w:val="222222"/>
          <w:sz w:val="23"/>
          <w:szCs w:val="23"/>
          <w:lang w:val="es-AR"/>
        </w:rPr>
        <w:t>.</w:t>
      </w:r>
    </w:p>
    <w:p w:rsidR="00B34A64" w:rsidRPr="00B34A64" w:rsidRDefault="00B34A64" w:rsidP="00B34A64">
      <w:pPr>
        <w:shd w:val="clear" w:color="auto" w:fill="FFFFFF"/>
        <w:spacing w:after="390" w:line="390" w:lineRule="atLeast"/>
        <w:rPr>
          <w:rFonts w:ascii="Verdana" w:eastAsia="Times New Roman" w:hAnsi="Verdana" w:cs="Times New Roman"/>
          <w:b/>
          <w:color w:val="222222"/>
          <w:sz w:val="28"/>
          <w:szCs w:val="28"/>
          <w:lang w:val="es-AR"/>
        </w:rPr>
      </w:pPr>
      <w:r w:rsidRPr="00B34A64">
        <w:rPr>
          <w:rFonts w:ascii="Verdana" w:eastAsia="Times New Roman" w:hAnsi="Verdana" w:cs="Times New Roman"/>
          <w:color w:val="222222"/>
          <w:sz w:val="23"/>
          <w:szCs w:val="23"/>
          <w:lang w:val="es-AR"/>
        </w:rPr>
        <w:t>En este nuevo acuerdo se insiste en defender la solidaridad del sistema público de pensiones y el establecimiento de pensiones que garanticen la dignidad de la persona </w:t>
      </w:r>
      <w:r w:rsidRPr="00B34A64">
        <w:rPr>
          <w:rFonts w:ascii="Verdana" w:eastAsia="Times New Roman" w:hAnsi="Verdana" w:cs="Times New Roman"/>
          <w:b/>
          <w:bCs/>
          <w:color w:val="222222"/>
          <w:sz w:val="23"/>
          <w:szCs w:val="23"/>
          <w:lang w:val="es-AR"/>
        </w:rPr>
        <w:t>(recomendación 15)</w:t>
      </w:r>
      <w:r w:rsidRPr="00B34A64">
        <w:rPr>
          <w:rFonts w:ascii="Verdana" w:eastAsia="Times New Roman" w:hAnsi="Verdana" w:cs="Times New Roman"/>
          <w:color w:val="222222"/>
          <w:sz w:val="23"/>
          <w:szCs w:val="23"/>
          <w:lang w:val="es-AR"/>
        </w:rPr>
        <w:t xml:space="preserve">. Para ello, se plantea </w:t>
      </w:r>
      <w:r w:rsidRPr="00B34A64">
        <w:rPr>
          <w:rFonts w:ascii="Verdana" w:eastAsia="Times New Roman" w:hAnsi="Verdana" w:cs="Times New Roman"/>
          <w:b/>
          <w:color w:val="222222"/>
          <w:sz w:val="28"/>
          <w:szCs w:val="28"/>
          <w:lang w:val="es-AR"/>
        </w:rPr>
        <w:lastRenderedPageBreak/>
        <w:t>establecer la </w:t>
      </w:r>
      <w:hyperlink r:id="rId9" w:tgtFrame="_blank" w:history="1">
        <w:r w:rsidRPr="00601F8F">
          <w:rPr>
            <w:rFonts w:ascii="Verdana" w:eastAsia="Times New Roman" w:hAnsi="Verdana" w:cs="Times New Roman"/>
            <w:b/>
            <w:color w:val="3949AB"/>
            <w:sz w:val="28"/>
            <w:szCs w:val="28"/>
            <w:lang w:val="es-AR"/>
          </w:rPr>
          <w:t>tasa de sustitución</w:t>
        </w:r>
      </w:hyperlink>
      <w:r w:rsidRPr="00B34A64">
        <w:rPr>
          <w:rFonts w:ascii="Verdana" w:eastAsia="Times New Roman" w:hAnsi="Verdana" w:cs="Times New Roman"/>
          <w:b/>
          <w:color w:val="222222"/>
          <w:sz w:val="28"/>
          <w:szCs w:val="28"/>
          <w:lang w:val="es-AR"/>
        </w:rPr>
        <w:t>, que relaciona la pensión media con el salario medio.</w:t>
      </w:r>
    </w:p>
    <w:p w:rsidR="00B34A64" w:rsidRPr="00B34A64" w:rsidRDefault="00B34A64" w:rsidP="00B34A64">
      <w:pPr>
        <w:shd w:val="clear" w:color="auto" w:fill="FFFFFF"/>
        <w:spacing w:after="390" w:line="390" w:lineRule="atLeast"/>
        <w:rPr>
          <w:rFonts w:ascii="Verdana" w:eastAsia="Times New Roman" w:hAnsi="Verdana" w:cs="Times New Roman"/>
          <w:b/>
          <w:color w:val="222222"/>
          <w:sz w:val="23"/>
          <w:szCs w:val="23"/>
          <w:lang w:val="es-AR"/>
        </w:rPr>
      </w:pPr>
      <w:r w:rsidRPr="00B34A64">
        <w:rPr>
          <w:rFonts w:ascii="Verdana" w:eastAsia="Times New Roman" w:hAnsi="Verdana" w:cs="Times New Roman"/>
          <w:color w:val="222222"/>
          <w:sz w:val="23"/>
          <w:szCs w:val="23"/>
          <w:lang w:val="es-AR"/>
        </w:rPr>
        <w:t>El mantenimiento del poder adquisitivo de las pensiones mediante su revalorización anual en base al IPC real </w:t>
      </w:r>
      <w:r w:rsidRPr="00B34A64">
        <w:rPr>
          <w:rFonts w:ascii="Verdana" w:eastAsia="Times New Roman" w:hAnsi="Verdana" w:cs="Times New Roman"/>
          <w:b/>
          <w:bCs/>
          <w:color w:val="222222"/>
          <w:sz w:val="23"/>
          <w:szCs w:val="23"/>
          <w:lang w:val="es-AR"/>
        </w:rPr>
        <w:t>(recomendación 2)</w:t>
      </w:r>
      <w:r w:rsidRPr="00B34A64">
        <w:rPr>
          <w:rFonts w:ascii="Verdana" w:eastAsia="Times New Roman" w:hAnsi="Verdana" w:cs="Times New Roman"/>
          <w:color w:val="222222"/>
          <w:sz w:val="23"/>
          <w:szCs w:val="23"/>
          <w:lang w:val="es-AR"/>
        </w:rPr>
        <w:t xml:space="preserve">, es una de las que ha conseguido mayor consenso: considera que cualquier subida de las pensiones acordada por </w:t>
      </w:r>
      <w:r w:rsidRPr="00B34A64">
        <w:rPr>
          <w:rFonts w:ascii="Verdana" w:eastAsia="Times New Roman" w:hAnsi="Verdana" w:cs="Times New Roman"/>
          <w:b/>
          <w:color w:val="222222"/>
          <w:sz w:val="23"/>
          <w:szCs w:val="23"/>
          <w:lang w:val="es-AR"/>
        </w:rPr>
        <w:t>encima del IPC debería ser sufragada con cargo a otros recursos financieros ajenos a los de la Seguridad Social.</w:t>
      </w:r>
    </w:p>
    <w:p w:rsidR="00B34A64" w:rsidRPr="00B34A64" w:rsidRDefault="00B34A64" w:rsidP="00B34A64">
      <w:pPr>
        <w:shd w:val="clear" w:color="auto" w:fill="FFFFFF"/>
        <w:spacing w:before="450" w:after="300" w:line="570" w:lineRule="atLeast"/>
        <w:outlineLvl w:val="1"/>
        <w:rPr>
          <w:rFonts w:ascii="Arial" w:eastAsia="Times New Roman" w:hAnsi="Arial" w:cs="Arial"/>
          <w:color w:val="111111"/>
          <w:sz w:val="41"/>
          <w:szCs w:val="41"/>
          <w:lang w:val="es-AR"/>
        </w:rPr>
      </w:pPr>
      <w:r w:rsidRPr="00B34A64">
        <w:rPr>
          <w:rFonts w:ascii="Arial" w:eastAsia="Times New Roman" w:hAnsi="Arial" w:cs="Arial"/>
          <w:color w:val="111111"/>
          <w:sz w:val="41"/>
          <w:szCs w:val="41"/>
          <w:lang w:val="es-AR"/>
        </w:rPr>
        <w:t>2023: acabar con el déficit de la Seguridad Social</w:t>
      </w:r>
    </w:p>
    <w:p w:rsidR="00B34A64" w:rsidRPr="00B34A64" w:rsidRDefault="00B34A64" w:rsidP="00B34A64">
      <w:pPr>
        <w:shd w:val="clear" w:color="auto" w:fill="F1F1F1"/>
        <w:spacing w:line="315" w:lineRule="atLeast"/>
        <w:jc w:val="center"/>
        <w:rPr>
          <w:rFonts w:ascii="Helvetica" w:eastAsia="Times New Roman" w:hAnsi="Helvetica" w:cs="Times New Roman"/>
          <w:color w:val="222222"/>
          <w:sz w:val="21"/>
          <w:szCs w:val="21"/>
          <w:lang w:val="es-AR"/>
        </w:rPr>
      </w:pPr>
      <w:r w:rsidRPr="00B34A64">
        <w:rPr>
          <w:rFonts w:ascii="Helvetica" w:eastAsia="Times New Roman" w:hAnsi="Helvetica" w:cs="Times New Roman"/>
          <w:color w:val="222222"/>
          <w:sz w:val="21"/>
          <w:szCs w:val="21"/>
          <w:lang w:val="es-AR"/>
        </w:rPr>
        <w:t>00:47 / 01:17</w:t>
      </w:r>
    </w:p>
    <w:p w:rsidR="00B34A64" w:rsidRPr="00B34A64" w:rsidRDefault="00B34A64" w:rsidP="00B34A64">
      <w:pPr>
        <w:shd w:val="clear" w:color="auto" w:fill="FFFFFF"/>
        <w:spacing w:after="390" w:line="390" w:lineRule="atLeast"/>
        <w:rPr>
          <w:rFonts w:ascii="Verdana" w:eastAsia="Times New Roman" w:hAnsi="Verdana" w:cs="Times New Roman"/>
          <w:b/>
          <w:color w:val="222222"/>
          <w:sz w:val="23"/>
          <w:szCs w:val="23"/>
          <w:lang w:val="es-AR"/>
        </w:rPr>
      </w:pPr>
      <w:r w:rsidRPr="00B34A64">
        <w:rPr>
          <w:rFonts w:ascii="Verdana" w:eastAsia="Times New Roman" w:hAnsi="Verdana" w:cs="Times New Roman"/>
          <w:color w:val="222222"/>
          <w:sz w:val="23"/>
          <w:szCs w:val="23"/>
          <w:lang w:val="es-AR"/>
        </w:rPr>
        <w:t>Se propone un plan de saneamiento de las cuentas </w:t>
      </w:r>
      <w:r w:rsidRPr="00B34A64">
        <w:rPr>
          <w:rFonts w:ascii="Verdana" w:eastAsia="Times New Roman" w:hAnsi="Verdana" w:cs="Times New Roman"/>
          <w:b/>
          <w:bCs/>
          <w:color w:val="222222"/>
          <w:sz w:val="23"/>
          <w:szCs w:val="23"/>
          <w:lang w:val="es-AR"/>
        </w:rPr>
        <w:t>(recomendación 1)</w:t>
      </w:r>
      <w:r w:rsidRPr="00B34A64">
        <w:rPr>
          <w:rFonts w:ascii="Verdana" w:eastAsia="Times New Roman" w:hAnsi="Verdana" w:cs="Times New Roman"/>
          <w:color w:val="222222"/>
          <w:sz w:val="23"/>
          <w:szCs w:val="23"/>
          <w:lang w:val="es-AR"/>
        </w:rPr>
        <w:t xml:space="preserve">, que </w:t>
      </w:r>
      <w:r w:rsidRPr="00B34A64">
        <w:rPr>
          <w:rFonts w:ascii="Verdana" w:eastAsia="Times New Roman" w:hAnsi="Verdana" w:cs="Times New Roman"/>
          <w:b/>
          <w:color w:val="222222"/>
          <w:sz w:val="23"/>
          <w:szCs w:val="23"/>
          <w:lang w:val="es-AR"/>
        </w:rPr>
        <w:t>saca de la Seguridad Social una serie de gastos que no deberían haber sido costeados con las cotizaciones sociales</w:t>
      </w:r>
      <w:r w:rsidRPr="00B34A64">
        <w:rPr>
          <w:rFonts w:ascii="Verdana" w:eastAsia="Times New Roman" w:hAnsi="Verdana" w:cs="Times New Roman"/>
          <w:color w:val="222222"/>
          <w:sz w:val="23"/>
          <w:szCs w:val="23"/>
          <w:lang w:val="es-AR"/>
        </w:rPr>
        <w:t xml:space="preserve">. A partir de 2023 esas </w:t>
      </w:r>
      <w:r w:rsidRPr="00B34A64">
        <w:rPr>
          <w:rFonts w:ascii="Verdana" w:eastAsia="Times New Roman" w:hAnsi="Verdana" w:cs="Times New Roman"/>
          <w:b/>
          <w:color w:val="222222"/>
          <w:sz w:val="23"/>
          <w:szCs w:val="23"/>
          <w:lang w:val="es-AR"/>
        </w:rPr>
        <w:t>facturas, ajenas a las pensiones, deberán ser asumidas por los Presupuestos Generales del Estado (y sufragadas a través de los impuestos).</w:t>
      </w:r>
    </w:p>
    <w:p w:rsidR="00B34A64" w:rsidRPr="00B34A64" w:rsidRDefault="00B34A64" w:rsidP="00B34A64">
      <w:pPr>
        <w:shd w:val="clear" w:color="auto" w:fill="FFFFFF"/>
        <w:spacing w:after="390" w:line="390" w:lineRule="atLeast"/>
        <w:rPr>
          <w:rFonts w:ascii="Verdana" w:eastAsia="Times New Roman" w:hAnsi="Verdana" w:cs="Times New Roman"/>
          <w:color w:val="222222"/>
          <w:sz w:val="23"/>
          <w:szCs w:val="23"/>
          <w:lang w:val="es-AR"/>
        </w:rPr>
      </w:pPr>
      <w:r w:rsidRPr="00B34A64">
        <w:rPr>
          <w:rFonts w:ascii="Verdana" w:eastAsia="Times New Roman" w:hAnsi="Verdana" w:cs="Times New Roman"/>
          <w:color w:val="222222"/>
          <w:sz w:val="23"/>
          <w:szCs w:val="23"/>
          <w:lang w:val="es-AR"/>
        </w:rPr>
        <w:t>El gasto español en pensiones es de </w:t>
      </w:r>
      <w:hyperlink r:id="rId10" w:anchor=":%7E:text=2019%20SEGURIDAD%20SOCIAL-,El%20gasto%20en%20las%20pensiones%20aumenta%20el%206%2C4%20%25%20en,8%20por%20ciento%20del%20PIB&amp;text=La%20Seguridad%20Social%20gastar%C3%A1%20en,10%2C8%20%25%20del%20PIB." w:tgtFrame="_blank" w:history="1">
        <w:r w:rsidRPr="00B34A64">
          <w:rPr>
            <w:rFonts w:ascii="Verdana" w:eastAsia="Times New Roman" w:hAnsi="Verdana" w:cs="Times New Roman"/>
            <w:color w:val="3949AB"/>
            <w:sz w:val="23"/>
            <w:szCs w:val="23"/>
            <w:lang w:val="es-AR"/>
          </w:rPr>
          <w:t>cerca de un 11% del PIB</w:t>
        </w:r>
      </w:hyperlink>
      <w:r w:rsidRPr="00B34A64">
        <w:rPr>
          <w:rFonts w:ascii="Verdana" w:eastAsia="Times New Roman" w:hAnsi="Verdana" w:cs="Times New Roman"/>
          <w:color w:val="222222"/>
          <w:sz w:val="23"/>
          <w:szCs w:val="23"/>
          <w:lang w:val="es-AR"/>
        </w:rPr>
        <w:t>. Para poder incrementarlo es preciso que la Seguridad Social se libere de gastos impropios como:</w:t>
      </w:r>
    </w:p>
    <w:p w:rsidR="00B34A64" w:rsidRPr="00B34A64" w:rsidRDefault="00B34A64" w:rsidP="00B34A64">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s-AR"/>
        </w:rPr>
      </w:pPr>
      <w:r w:rsidRPr="00B34A64">
        <w:rPr>
          <w:rFonts w:ascii="Verdana" w:eastAsia="Times New Roman" w:hAnsi="Verdana" w:cs="Times New Roman"/>
          <w:color w:val="222222"/>
          <w:sz w:val="23"/>
          <w:szCs w:val="23"/>
          <w:lang w:val="es-AR"/>
        </w:rPr>
        <w:t>Las ayudas a las empresas y autónomos a través de reducciones en la cotización a la Seguridad Social.</w:t>
      </w:r>
    </w:p>
    <w:p w:rsidR="00B34A64" w:rsidRPr="00B34A64" w:rsidRDefault="00B34A64" w:rsidP="00B34A64">
      <w:pPr>
        <w:numPr>
          <w:ilvl w:val="0"/>
          <w:numId w:val="1"/>
        </w:numPr>
        <w:shd w:val="clear" w:color="auto" w:fill="FFFFFF"/>
        <w:spacing w:before="100" w:beforeAutospacing="1" w:after="100" w:afterAutospacing="1" w:line="390" w:lineRule="atLeast"/>
        <w:ind w:left="1035"/>
        <w:rPr>
          <w:rFonts w:ascii="Verdana" w:eastAsia="Times New Roman" w:hAnsi="Verdana" w:cs="Times New Roman"/>
          <w:b/>
          <w:color w:val="222222"/>
          <w:sz w:val="23"/>
          <w:szCs w:val="23"/>
          <w:lang w:val="es-AR"/>
        </w:rPr>
      </w:pPr>
      <w:r w:rsidRPr="00B34A64">
        <w:rPr>
          <w:rFonts w:ascii="Verdana" w:eastAsia="Times New Roman" w:hAnsi="Verdana" w:cs="Times New Roman"/>
          <w:color w:val="222222"/>
          <w:sz w:val="23"/>
          <w:szCs w:val="23"/>
          <w:lang w:val="es-AR"/>
        </w:rPr>
        <w:t xml:space="preserve">Las prestaciones relacionadas con el nacimiento y cuidado de hijos, así como el complemento de maternidad en la pensión. </w:t>
      </w:r>
      <w:r w:rsidRPr="00B34A64">
        <w:rPr>
          <w:rFonts w:ascii="Verdana" w:eastAsia="Times New Roman" w:hAnsi="Verdana" w:cs="Times New Roman"/>
          <w:b/>
          <w:color w:val="222222"/>
          <w:sz w:val="23"/>
          <w:szCs w:val="23"/>
          <w:lang w:val="es-AR"/>
        </w:rPr>
        <w:t>No se justifica que estas políticas de incentivo a la natalidad se financien con cargo a las cotizaciones.</w:t>
      </w:r>
    </w:p>
    <w:p w:rsidR="00B34A64" w:rsidRPr="00B34A64" w:rsidRDefault="00B34A64" w:rsidP="00B34A64">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s-AR"/>
        </w:rPr>
      </w:pPr>
      <w:r w:rsidRPr="00B34A64">
        <w:rPr>
          <w:rFonts w:ascii="Verdana" w:eastAsia="Times New Roman" w:hAnsi="Verdana" w:cs="Times New Roman"/>
          <w:b/>
          <w:color w:val="222222"/>
          <w:sz w:val="23"/>
          <w:szCs w:val="23"/>
          <w:lang w:val="es-AR"/>
        </w:rPr>
        <w:lastRenderedPageBreak/>
        <w:t>Los gastos de funcionamiento de la Seguridad Social</w:t>
      </w:r>
      <w:r w:rsidRPr="00B34A64">
        <w:rPr>
          <w:rFonts w:ascii="Verdana" w:eastAsia="Times New Roman" w:hAnsi="Verdana" w:cs="Times New Roman"/>
          <w:color w:val="222222"/>
          <w:sz w:val="23"/>
          <w:szCs w:val="23"/>
          <w:lang w:val="es-AR"/>
        </w:rPr>
        <w:t xml:space="preserve"> (en la mayoría de los Estados de nuestro entorno es el propio Estado quien los asume).</w:t>
      </w:r>
    </w:p>
    <w:p w:rsidR="00B34A64" w:rsidRPr="00B34A64" w:rsidRDefault="00B34A64" w:rsidP="00B34A64">
      <w:pPr>
        <w:shd w:val="clear" w:color="auto" w:fill="FFFFFF"/>
        <w:spacing w:after="390" w:line="390" w:lineRule="atLeast"/>
        <w:rPr>
          <w:rFonts w:ascii="Verdana" w:eastAsia="Times New Roman" w:hAnsi="Verdana" w:cs="Times New Roman"/>
          <w:color w:val="222222"/>
          <w:sz w:val="23"/>
          <w:szCs w:val="23"/>
          <w:lang w:val="es-AR"/>
        </w:rPr>
      </w:pPr>
      <w:r w:rsidRPr="00B34A64">
        <w:rPr>
          <w:rFonts w:ascii="Verdana" w:eastAsia="Times New Roman" w:hAnsi="Verdana" w:cs="Times New Roman"/>
          <w:color w:val="222222"/>
          <w:sz w:val="23"/>
          <w:szCs w:val="23"/>
          <w:lang w:val="es-AR"/>
        </w:rPr>
        <w:t>La </w:t>
      </w:r>
      <w:r w:rsidRPr="00B34A64">
        <w:rPr>
          <w:rFonts w:ascii="Verdana" w:eastAsia="Times New Roman" w:hAnsi="Verdana" w:cs="Times New Roman"/>
          <w:b/>
          <w:bCs/>
          <w:color w:val="222222"/>
          <w:sz w:val="23"/>
          <w:szCs w:val="23"/>
          <w:lang w:val="es-AR"/>
        </w:rPr>
        <w:t>recomendación 6</w:t>
      </w:r>
      <w:r w:rsidRPr="00B34A64">
        <w:rPr>
          <w:rFonts w:ascii="Verdana" w:eastAsia="Times New Roman" w:hAnsi="Verdana" w:cs="Times New Roman"/>
          <w:color w:val="222222"/>
          <w:sz w:val="23"/>
          <w:szCs w:val="23"/>
          <w:lang w:val="es-AR"/>
        </w:rPr>
        <w:t xml:space="preserve"> explicita que </w:t>
      </w:r>
      <w:r w:rsidRPr="00B34A64">
        <w:rPr>
          <w:rFonts w:ascii="Verdana" w:eastAsia="Times New Roman" w:hAnsi="Verdana" w:cs="Times New Roman"/>
          <w:b/>
          <w:color w:val="222222"/>
          <w:sz w:val="23"/>
          <w:szCs w:val="23"/>
          <w:lang w:val="es-AR"/>
        </w:rPr>
        <w:t>los incentivos al empleo no pueden financiarse con cargo a las cotizaciones sociales,</w:t>
      </w:r>
      <w:r w:rsidRPr="00B34A64">
        <w:rPr>
          <w:rFonts w:ascii="Verdana" w:eastAsia="Times New Roman" w:hAnsi="Verdana" w:cs="Times New Roman"/>
          <w:color w:val="222222"/>
          <w:sz w:val="23"/>
          <w:szCs w:val="23"/>
          <w:lang w:val="es-AR"/>
        </w:rPr>
        <w:t xml:space="preserve"> y recomienda incentivos concebidos como una herramienta excepcional y específica para las situaciones y colectivos cuyo empleo se persigue favorecer.</w:t>
      </w:r>
    </w:p>
    <w:p w:rsidR="00B34A64" w:rsidRPr="00B34A64" w:rsidRDefault="00B34A64" w:rsidP="00B34A64">
      <w:pPr>
        <w:shd w:val="clear" w:color="auto" w:fill="FFFFFF"/>
        <w:spacing w:after="390" w:line="390" w:lineRule="atLeast"/>
        <w:rPr>
          <w:rFonts w:ascii="Verdana" w:eastAsia="Times New Roman" w:hAnsi="Verdana" w:cs="Times New Roman"/>
          <w:color w:val="222222"/>
          <w:sz w:val="23"/>
          <w:szCs w:val="23"/>
          <w:lang w:val="es-AR"/>
        </w:rPr>
      </w:pPr>
      <w:r w:rsidRPr="00B34A64">
        <w:rPr>
          <w:rFonts w:ascii="Verdana" w:eastAsia="Times New Roman" w:hAnsi="Verdana" w:cs="Times New Roman"/>
          <w:color w:val="222222"/>
          <w:sz w:val="23"/>
          <w:szCs w:val="23"/>
          <w:lang w:val="es-AR"/>
        </w:rPr>
        <w:t>También los </w:t>
      </w:r>
      <w:hyperlink r:id="rId11" w:anchor=":%7E:text=El%20complemento%20por%20m%C3%ADnimo%20es,alcance%20el%20m%C3%ADnimo%20fijado%20legalmente.&amp;text=Tener%20reconocida%20una%20pensi%C3%B3n%20cuya,establece%20anualmente%20para%20cada%20caso." w:tgtFrame="_blank" w:history="1">
        <w:r w:rsidRPr="00B34A64">
          <w:rPr>
            <w:rFonts w:ascii="Verdana" w:eastAsia="Times New Roman" w:hAnsi="Verdana" w:cs="Times New Roman"/>
            <w:color w:val="3949AB"/>
            <w:sz w:val="23"/>
            <w:szCs w:val="23"/>
            <w:lang w:val="es-AR"/>
          </w:rPr>
          <w:t>complementos a mínimos </w:t>
        </w:r>
      </w:hyperlink>
      <w:r w:rsidRPr="00B34A64">
        <w:rPr>
          <w:rFonts w:ascii="Verdana" w:eastAsia="Times New Roman" w:hAnsi="Verdana" w:cs="Times New Roman"/>
          <w:color w:val="222222"/>
          <w:sz w:val="23"/>
          <w:szCs w:val="23"/>
          <w:lang w:val="es-AR"/>
        </w:rPr>
        <w:t>, lo que el Estado suma a la pensión cuando esta no alcanza el mínimo legal, deberán ser asumidos por los Presupuestos Generales del Estado, vía impuestos, y no por las cotizaciones sociales </w:t>
      </w:r>
      <w:r w:rsidRPr="00B34A64">
        <w:rPr>
          <w:rFonts w:ascii="Verdana" w:eastAsia="Times New Roman" w:hAnsi="Verdana" w:cs="Times New Roman"/>
          <w:b/>
          <w:bCs/>
          <w:color w:val="222222"/>
          <w:sz w:val="23"/>
          <w:szCs w:val="23"/>
          <w:lang w:val="es-AR"/>
        </w:rPr>
        <w:t>(recomendación 15)</w:t>
      </w:r>
      <w:r w:rsidRPr="00B34A64">
        <w:rPr>
          <w:rFonts w:ascii="Verdana" w:eastAsia="Times New Roman" w:hAnsi="Verdana" w:cs="Times New Roman"/>
          <w:color w:val="222222"/>
          <w:sz w:val="23"/>
          <w:szCs w:val="23"/>
          <w:lang w:val="es-AR"/>
        </w:rPr>
        <w:t>.</w:t>
      </w:r>
    </w:p>
    <w:p w:rsidR="00B34A64" w:rsidRPr="00B34A64" w:rsidRDefault="00B34A64" w:rsidP="00B34A64">
      <w:pPr>
        <w:shd w:val="clear" w:color="auto" w:fill="FFFFFF"/>
        <w:spacing w:after="390" w:line="390" w:lineRule="atLeast"/>
        <w:rPr>
          <w:rFonts w:ascii="Verdana" w:eastAsia="Times New Roman" w:hAnsi="Verdana" w:cs="Times New Roman"/>
          <w:color w:val="222222"/>
          <w:sz w:val="23"/>
          <w:szCs w:val="23"/>
          <w:lang w:val="es-AR"/>
        </w:rPr>
      </w:pPr>
      <w:r w:rsidRPr="00B34A64">
        <w:rPr>
          <w:rFonts w:ascii="Verdana" w:eastAsia="Times New Roman" w:hAnsi="Verdana" w:cs="Times New Roman"/>
          <w:color w:val="222222"/>
          <w:sz w:val="23"/>
          <w:szCs w:val="23"/>
          <w:lang w:val="es-AR"/>
        </w:rPr>
        <w:t>En definitiva, la comisión del Pacto de Toledo insiste en que las prestaciones no contributivas y los servicios de carácter universal se financien a través de aportaciones del Estado a la Seguridad Social </w:t>
      </w:r>
      <w:r w:rsidRPr="00B34A64">
        <w:rPr>
          <w:rFonts w:ascii="Verdana" w:eastAsia="Times New Roman" w:hAnsi="Verdana" w:cs="Times New Roman"/>
          <w:b/>
          <w:bCs/>
          <w:color w:val="222222"/>
          <w:sz w:val="23"/>
          <w:szCs w:val="23"/>
          <w:lang w:val="es-AR"/>
        </w:rPr>
        <w:t>(recomendación 0)</w:t>
      </w:r>
      <w:r w:rsidRPr="00B34A64">
        <w:rPr>
          <w:rFonts w:ascii="Verdana" w:eastAsia="Times New Roman" w:hAnsi="Verdana" w:cs="Times New Roman"/>
          <w:color w:val="222222"/>
          <w:sz w:val="23"/>
          <w:szCs w:val="23"/>
          <w:lang w:val="es-AR"/>
        </w:rPr>
        <w:t>.</w:t>
      </w:r>
    </w:p>
    <w:p w:rsidR="00B34A64" w:rsidRPr="00B34A64" w:rsidRDefault="00B34A64" w:rsidP="00B34A64">
      <w:pPr>
        <w:shd w:val="clear" w:color="auto" w:fill="FFFFFF"/>
        <w:spacing w:after="390" w:line="390" w:lineRule="atLeast"/>
        <w:rPr>
          <w:rFonts w:ascii="Verdana" w:eastAsia="Times New Roman" w:hAnsi="Verdana" w:cs="Times New Roman"/>
          <w:color w:val="222222"/>
          <w:sz w:val="23"/>
          <w:szCs w:val="23"/>
          <w:lang w:val="es-AR"/>
        </w:rPr>
      </w:pPr>
      <w:r w:rsidRPr="00B34A64">
        <w:rPr>
          <w:rFonts w:ascii="Verdana" w:eastAsia="Times New Roman" w:hAnsi="Verdana" w:cs="Times New Roman"/>
          <w:color w:val="222222"/>
          <w:sz w:val="23"/>
          <w:szCs w:val="23"/>
          <w:lang w:val="es-AR"/>
        </w:rPr>
        <w:t>Sacar de las cuentas de la Seguridad Social el total de gastos impropios podría significar unos 23 000 millones más para sus arcas en 2023, algo más del déficit que (de no haber modificación alguna), se prevé para esa fecha, </w:t>
      </w:r>
      <w:hyperlink r:id="rId12" w:tgtFrame="_blank" w:history="1">
        <w:r w:rsidRPr="00B34A64">
          <w:rPr>
            <w:rFonts w:ascii="Verdana" w:eastAsia="Times New Roman" w:hAnsi="Verdana" w:cs="Times New Roman"/>
            <w:color w:val="3949AB"/>
            <w:sz w:val="23"/>
            <w:szCs w:val="23"/>
            <w:lang w:val="es-AR"/>
          </w:rPr>
          <w:t>unos 20 000 millones de euros</w:t>
        </w:r>
      </w:hyperlink>
      <w:r w:rsidRPr="00B34A64">
        <w:rPr>
          <w:rFonts w:ascii="Verdana" w:eastAsia="Times New Roman" w:hAnsi="Verdana" w:cs="Times New Roman"/>
          <w:color w:val="222222"/>
          <w:sz w:val="23"/>
          <w:szCs w:val="23"/>
          <w:lang w:val="es-AR"/>
        </w:rPr>
        <w:t>.</w:t>
      </w:r>
    </w:p>
    <w:p w:rsidR="00B34A64" w:rsidRPr="00B34A64" w:rsidRDefault="00B34A64" w:rsidP="00B34A64">
      <w:pPr>
        <w:shd w:val="clear" w:color="auto" w:fill="FFFFFF"/>
        <w:spacing w:before="450" w:after="300" w:line="570" w:lineRule="atLeast"/>
        <w:outlineLvl w:val="1"/>
        <w:rPr>
          <w:rFonts w:ascii="Arial" w:eastAsia="Times New Roman" w:hAnsi="Arial" w:cs="Arial"/>
          <w:color w:val="111111"/>
          <w:sz w:val="41"/>
          <w:szCs w:val="41"/>
          <w:lang w:val="es-AR"/>
        </w:rPr>
      </w:pPr>
      <w:r w:rsidRPr="00B34A64">
        <w:rPr>
          <w:rFonts w:ascii="Arial" w:eastAsia="Times New Roman" w:hAnsi="Arial" w:cs="Arial"/>
          <w:color w:val="111111"/>
          <w:sz w:val="41"/>
          <w:szCs w:val="41"/>
          <w:lang w:val="es-AR"/>
        </w:rPr>
        <w:t>Recuperar ‘la hucha de las pensiones’</w:t>
      </w:r>
    </w:p>
    <w:p w:rsidR="00B34A64" w:rsidRPr="00B34A64" w:rsidRDefault="00B34A64" w:rsidP="00B34A64">
      <w:pPr>
        <w:shd w:val="clear" w:color="auto" w:fill="FFFFFF"/>
        <w:spacing w:after="390" w:line="390" w:lineRule="atLeast"/>
        <w:rPr>
          <w:rFonts w:ascii="Verdana" w:eastAsia="Times New Roman" w:hAnsi="Verdana" w:cs="Times New Roman"/>
          <w:color w:val="222222"/>
          <w:sz w:val="23"/>
          <w:szCs w:val="23"/>
          <w:lang w:val="es-AR"/>
        </w:rPr>
      </w:pPr>
      <w:r w:rsidRPr="00B34A64">
        <w:rPr>
          <w:rFonts w:ascii="Verdana" w:eastAsia="Times New Roman" w:hAnsi="Verdana" w:cs="Times New Roman"/>
          <w:color w:val="222222"/>
          <w:sz w:val="23"/>
          <w:szCs w:val="23"/>
          <w:lang w:val="es-AR"/>
        </w:rPr>
        <w:t>En la </w:t>
      </w:r>
      <w:r w:rsidRPr="00B34A64">
        <w:rPr>
          <w:rFonts w:ascii="Verdana" w:eastAsia="Times New Roman" w:hAnsi="Verdana" w:cs="Times New Roman"/>
          <w:b/>
          <w:bCs/>
          <w:color w:val="222222"/>
          <w:sz w:val="23"/>
          <w:szCs w:val="23"/>
          <w:lang w:val="es-AR"/>
        </w:rPr>
        <w:t>recomendación 3</w:t>
      </w:r>
      <w:r w:rsidRPr="00B34A64">
        <w:rPr>
          <w:rFonts w:ascii="Verdana" w:eastAsia="Times New Roman" w:hAnsi="Verdana" w:cs="Times New Roman"/>
          <w:color w:val="222222"/>
          <w:sz w:val="23"/>
          <w:szCs w:val="23"/>
          <w:lang w:val="es-AR"/>
        </w:rPr>
        <w:t> se aborda la situación del Fondo de Reserva de la Seguridad Social, la </w:t>
      </w:r>
      <w:r w:rsidRPr="00B34A64">
        <w:rPr>
          <w:rFonts w:ascii="Verdana" w:eastAsia="Times New Roman" w:hAnsi="Verdana" w:cs="Times New Roman"/>
          <w:i/>
          <w:iCs/>
          <w:color w:val="222222"/>
          <w:sz w:val="23"/>
          <w:szCs w:val="23"/>
          <w:lang w:val="es-AR"/>
        </w:rPr>
        <w:t>hucha de las pensiones</w:t>
      </w:r>
      <w:r w:rsidRPr="00B34A64">
        <w:rPr>
          <w:rFonts w:ascii="Verdana" w:eastAsia="Times New Roman" w:hAnsi="Verdana" w:cs="Times New Roman"/>
          <w:color w:val="222222"/>
          <w:sz w:val="23"/>
          <w:szCs w:val="23"/>
          <w:lang w:val="es-AR"/>
        </w:rPr>
        <w:t>, vaciada en un 90% </w:t>
      </w:r>
      <w:hyperlink r:id="rId13" w:anchor="Evoluci%C3%B3n_del_fondo" w:tgtFrame="_blank" w:history="1">
        <w:r w:rsidRPr="00B34A64">
          <w:rPr>
            <w:rFonts w:ascii="Verdana" w:eastAsia="Times New Roman" w:hAnsi="Verdana" w:cs="Times New Roman"/>
            <w:color w:val="3949AB"/>
            <w:sz w:val="23"/>
            <w:szCs w:val="23"/>
            <w:lang w:val="es-AR"/>
          </w:rPr>
          <w:t>entre 2012 y 2018</w:t>
        </w:r>
      </w:hyperlink>
      <w:r w:rsidRPr="00B34A64">
        <w:rPr>
          <w:rFonts w:ascii="Verdana" w:eastAsia="Times New Roman" w:hAnsi="Verdana" w:cs="Times New Roman"/>
          <w:color w:val="222222"/>
          <w:sz w:val="23"/>
          <w:szCs w:val="23"/>
          <w:lang w:val="es-AR"/>
        </w:rPr>
        <w:t> ante el enorme déficit que enfrentaban las cuentas de la Seguridad Social del momento.</w:t>
      </w:r>
    </w:p>
    <w:p w:rsidR="00B34A64" w:rsidRPr="00B34A64" w:rsidRDefault="00B34A64" w:rsidP="00B34A64">
      <w:pPr>
        <w:shd w:val="clear" w:color="auto" w:fill="FFFFFF"/>
        <w:spacing w:after="390" w:line="390" w:lineRule="atLeast"/>
        <w:rPr>
          <w:rFonts w:ascii="Verdana" w:eastAsia="Times New Roman" w:hAnsi="Verdana" w:cs="Times New Roman"/>
          <w:color w:val="222222"/>
          <w:sz w:val="23"/>
          <w:szCs w:val="23"/>
          <w:lang w:val="es-AR"/>
        </w:rPr>
      </w:pPr>
      <w:r w:rsidRPr="00B34A64">
        <w:rPr>
          <w:rFonts w:ascii="Verdana" w:eastAsia="Times New Roman" w:hAnsi="Verdana" w:cs="Times New Roman"/>
          <w:color w:val="222222"/>
          <w:sz w:val="23"/>
          <w:szCs w:val="23"/>
          <w:lang w:val="es-AR"/>
        </w:rPr>
        <w:lastRenderedPageBreak/>
        <w:t>El Pacto insiste en que, una vez se recupere el equilibrio en las cuentas, se retome la regla según la cual, los excedentes de las cotizaciones deben ir, íntegros, al fondo de reserva y fijar un remanente mínimo del mismo.</w:t>
      </w:r>
    </w:p>
    <w:p w:rsidR="00B34A64" w:rsidRPr="00B34A64" w:rsidRDefault="00B34A64" w:rsidP="00B34A64">
      <w:pPr>
        <w:shd w:val="clear" w:color="auto" w:fill="FFFFFF"/>
        <w:spacing w:after="390" w:line="390" w:lineRule="atLeast"/>
        <w:rPr>
          <w:rFonts w:ascii="Verdana" w:eastAsia="Times New Roman" w:hAnsi="Verdana" w:cs="Times New Roman"/>
          <w:b/>
          <w:color w:val="222222"/>
          <w:sz w:val="23"/>
          <w:szCs w:val="23"/>
          <w:lang w:val="es-AR"/>
        </w:rPr>
      </w:pPr>
      <w:r w:rsidRPr="00B34A64">
        <w:rPr>
          <w:rFonts w:ascii="Verdana" w:eastAsia="Times New Roman" w:hAnsi="Verdana" w:cs="Times New Roman"/>
          <w:b/>
          <w:color w:val="222222"/>
          <w:sz w:val="23"/>
          <w:szCs w:val="23"/>
          <w:lang w:val="es-AR"/>
        </w:rPr>
        <w:t>Esto es así al considerar que este fondo no debe servir para resolver desequilibrios estructurales, sino para atender desfases coyunturales entre los ingresos y los gastos de la Seguridad Social.</w:t>
      </w:r>
    </w:p>
    <w:p w:rsidR="00B34A64" w:rsidRPr="00B34A64" w:rsidRDefault="00B34A64" w:rsidP="00B34A64">
      <w:pPr>
        <w:shd w:val="clear" w:color="auto" w:fill="FFFFFF"/>
        <w:spacing w:before="450" w:after="300" w:line="570" w:lineRule="atLeast"/>
        <w:outlineLvl w:val="1"/>
        <w:rPr>
          <w:rFonts w:ascii="Arial" w:eastAsia="Times New Roman" w:hAnsi="Arial" w:cs="Arial"/>
          <w:color w:val="111111"/>
          <w:sz w:val="41"/>
          <w:szCs w:val="41"/>
          <w:lang w:val="es-AR"/>
        </w:rPr>
      </w:pPr>
      <w:r w:rsidRPr="00B34A64">
        <w:rPr>
          <w:rFonts w:ascii="Arial" w:eastAsia="Times New Roman" w:hAnsi="Arial" w:cs="Arial"/>
          <w:color w:val="111111"/>
          <w:sz w:val="41"/>
          <w:szCs w:val="41"/>
          <w:lang w:val="es-AR"/>
        </w:rPr>
        <w:t>Mayor transparencia en las cotizaciones de los autónomos</w:t>
      </w:r>
    </w:p>
    <w:p w:rsidR="00B34A64" w:rsidRPr="00B34A64" w:rsidRDefault="00B34A64" w:rsidP="00B34A64">
      <w:pPr>
        <w:shd w:val="clear" w:color="auto" w:fill="FFFFFF"/>
        <w:spacing w:after="390" w:line="390" w:lineRule="atLeast"/>
        <w:rPr>
          <w:rFonts w:ascii="Verdana" w:eastAsia="Times New Roman" w:hAnsi="Verdana" w:cs="Times New Roman"/>
          <w:color w:val="222222"/>
          <w:sz w:val="23"/>
          <w:szCs w:val="23"/>
          <w:lang w:val="es-AR"/>
        </w:rPr>
      </w:pPr>
      <w:r w:rsidRPr="00B34A64">
        <w:rPr>
          <w:rFonts w:ascii="Verdana" w:eastAsia="Times New Roman" w:hAnsi="Verdana" w:cs="Times New Roman"/>
          <w:color w:val="222222"/>
          <w:sz w:val="23"/>
          <w:szCs w:val="23"/>
          <w:lang w:val="es-AR"/>
        </w:rPr>
        <w:t>En cuanto a las cotizaciones de los autónomos, la comisión sostiene en la </w:t>
      </w:r>
      <w:r w:rsidRPr="00B34A64">
        <w:rPr>
          <w:rFonts w:ascii="Verdana" w:eastAsia="Times New Roman" w:hAnsi="Verdana" w:cs="Times New Roman"/>
          <w:b/>
          <w:bCs/>
          <w:color w:val="222222"/>
          <w:sz w:val="23"/>
          <w:szCs w:val="23"/>
          <w:lang w:val="es-AR"/>
        </w:rPr>
        <w:t>recomendación 4</w:t>
      </w:r>
      <w:r w:rsidRPr="00B34A64">
        <w:rPr>
          <w:rFonts w:ascii="Verdana" w:eastAsia="Times New Roman" w:hAnsi="Verdana" w:cs="Times New Roman"/>
          <w:color w:val="222222"/>
          <w:sz w:val="23"/>
          <w:szCs w:val="23"/>
          <w:lang w:val="es-AR"/>
        </w:rPr>
        <w:t> que, para garantizar la sostenibilidad del sistema de pensiones, se debe aproximar la cotización de los trabajadores autónomos a sus ingresos reales.</w:t>
      </w:r>
    </w:p>
    <w:p w:rsidR="00B34A64" w:rsidRPr="00B34A64" w:rsidRDefault="00B34A64" w:rsidP="00B34A64">
      <w:pPr>
        <w:shd w:val="clear" w:color="auto" w:fill="FFFFFF"/>
        <w:spacing w:after="390" w:line="390" w:lineRule="atLeast"/>
        <w:rPr>
          <w:rFonts w:ascii="Verdana" w:eastAsia="Times New Roman" w:hAnsi="Verdana" w:cs="Times New Roman"/>
          <w:b/>
          <w:color w:val="222222"/>
          <w:sz w:val="23"/>
          <w:szCs w:val="23"/>
          <w:lang w:val="es-AR"/>
        </w:rPr>
      </w:pPr>
      <w:r w:rsidRPr="00B34A64">
        <w:rPr>
          <w:rFonts w:ascii="Verdana" w:eastAsia="Times New Roman" w:hAnsi="Verdana" w:cs="Times New Roman"/>
          <w:b/>
          <w:color w:val="222222"/>
          <w:sz w:val="23"/>
          <w:szCs w:val="23"/>
          <w:lang w:val="es-AR"/>
        </w:rPr>
        <w:t>Esto, mediante una estrategia de tramos de cotización que garantice que los autónomos con menos ingresos puedan reducir sus cotizaciones, al tiempo que aquellos con ingresos más altos, se vean obligados a incrementarlas. Hoy por hoy, </w:t>
      </w:r>
      <w:hyperlink r:id="rId14" w:tgtFrame="_blank" w:history="1">
        <w:r w:rsidRPr="00601F8F">
          <w:rPr>
            <w:rFonts w:ascii="Verdana" w:eastAsia="Times New Roman" w:hAnsi="Verdana" w:cs="Times New Roman"/>
            <w:b/>
            <w:color w:val="3949AB"/>
            <w:sz w:val="23"/>
            <w:szCs w:val="23"/>
            <w:lang w:val="es-AR"/>
          </w:rPr>
          <w:t>más del 80%</w:t>
        </w:r>
      </w:hyperlink>
      <w:r w:rsidRPr="00B34A64">
        <w:rPr>
          <w:rFonts w:ascii="Verdana" w:eastAsia="Times New Roman" w:hAnsi="Verdana" w:cs="Times New Roman"/>
          <w:b/>
          <w:color w:val="222222"/>
          <w:sz w:val="23"/>
          <w:szCs w:val="23"/>
          <w:lang w:val="es-AR"/>
        </w:rPr>
        <w:t> de los autónomos cotizan por la base mínima (944,40 euros/mes) con independencia de sus ingresos.</w:t>
      </w:r>
    </w:p>
    <w:p w:rsidR="00B34A64" w:rsidRPr="00B34A64" w:rsidRDefault="00B34A64" w:rsidP="00B34A64">
      <w:pPr>
        <w:shd w:val="clear" w:color="auto" w:fill="FFFFFF"/>
        <w:spacing w:after="390" w:line="390" w:lineRule="atLeast"/>
        <w:rPr>
          <w:rFonts w:ascii="Verdana" w:eastAsia="Times New Roman" w:hAnsi="Verdana" w:cs="Times New Roman"/>
          <w:color w:val="222222"/>
          <w:sz w:val="23"/>
          <w:szCs w:val="23"/>
          <w:lang w:val="es-AR"/>
        </w:rPr>
      </w:pPr>
      <w:r w:rsidRPr="00B34A64">
        <w:rPr>
          <w:rFonts w:ascii="Verdana" w:eastAsia="Times New Roman" w:hAnsi="Verdana" w:cs="Times New Roman"/>
          <w:color w:val="222222"/>
          <w:sz w:val="23"/>
          <w:szCs w:val="23"/>
          <w:lang w:val="es-AR"/>
        </w:rPr>
        <w:t>Para equilibrar la protección social de asalariados y autónomos, el Pacto de Toledo recomienda medidas que contemplen tanto la jubilación anticipada como el trabajo a tiempo parcial de los autónomos.</w:t>
      </w:r>
    </w:p>
    <w:p w:rsidR="00B34A64" w:rsidRPr="00B34A64" w:rsidRDefault="00B34A64" w:rsidP="00B34A64">
      <w:pPr>
        <w:shd w:val="clear" w:color="auto" w:fill="FFFFFF"/>
        <w:spacing w:after="390" w:line="390" w:lineRule="atLeast"/>
        <w:rPr>
          <w:rFonts w:ascii="Verdana" w:eastAsia="Times New Roman" w:hAnsi="Verdana" w:cs="Times New Roman"/>
          <w:color w:val="222222"/>
          <w:sz w:val="23"/>
          <w:szCs w:val="23"/>
          <w:lang w:val="es-AR"/>
        </w:rPr>
      </w:pPr>
      <w:r w:rsidRPr="00B34A64">
        <w:rPr>
          <w:rFonts w:ascii="Verdana" w:eastAsia="Times New Roman" w:hAnsi="Verdana" w:cs="Times New Roman"/>
          <w:color w:val="222222"/>
          <w:sz w:val="23"/>
          <w:szCs w:val="23"/>
          <w:lang w:val="es-AR"/>
        </w:rPr>
        <w:t>También apuesta por la plena integración de los regímenes y sistemas especiales, para reducir a dos los encuadramientos en la Seguridad Social:</w:t>
      </w:r>
    </w:p>
    <w:p w:rsidR="00B34A64" w:rsidRPr="00B34A64" w:rsidRDefault="00B34A64" w:rsidP="00B34A64">
      <w:pPr>
        <w:numPr>
          <w:ilvl w:val="0"/>
          <w:numId w:val="2"/>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s-AR"/>
        </w:rPr>
      </w:pPr>
      <w:r w:rsidRPr="00B34A64">
        <w:rPr>
          <w:rFonts w:ascii="Verdana" w:eastAsia="Times New Roman" w:hAnsi="Verdana" w:cs="Times New Roman"/>
          <w:color w:val="222222"/>
          <w:sz w:val="23"/>
          <w:szCs w:val="23"/>
          <w:lang w:val="es-AR"/>
        </w:rPr>
        <w:t>Trabajadores por cuenta ajena (RGSS).</w:t>
      </w:r>
    </w:p>
    <w:p w:rsidR="00B34A64" w:rsidRPr="00B34A64" w:rsidRDefault="00B34A64" w:rsidP="00B34A64">
      <w:pPr>
        <w:numPr>
          <w:ilvl w:val="0"/>
          <w:numId w:val="2"/>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s-AR"/>
        </w:rPr>
      </w:pPr>
      <w:r w:rsidRPr="00B34A64">
        <w:rPr>
          <w:rFonts w:ascii="Verdana" w:eastAsia="Times New Roman" w:hAnsi="Verdana" w:cs="Times New Roman"/>
          <w:color w:val="222222"/>
          <w:sz w:val="23"/>
          <w:szCs w:val="23"/>
          <w:lang w:val="es-AR"/>
        </w:rPr>
        <w:t>Trabajadores por cuenta propia (RETA).</w:t>
      </w:r>
    </w:p>
    <w:p w:rsidR="00B34A64" w:rsidRPr="00B34A64" w:rsidRDefault="00B34A64" w:rsidP="00B34A64">
      <w:pPr>
        <w:shd w:val="clear" w:color="auto" w:fill="FFFFFF"/>
        <w:spacing w:before="450" w:after="300" w:line="570" w:lineRule="atLeast"/>
        <w:outlineLvl w:val="1"/>
        <w:rPr>
          <w:rFonts w:ascii="Arial" w:eastAsia="Times New Roman" w:hAnsi="Arial" w:cs="Arial"/>
          <w:color w:val="111111"/>
          <w:sz w:val="41"/>
          <w:szCs w:val="41"/>
          <w:lang w:val="es-AR"/>
        </w:rPr>
      </w:pPr>
      <w:r w:rsidRPr="00B34A64">
        <w:rPr>
          <w:rFonts w:ascii="Arial" w:eastAsia="Times New Roman" w:hAnsi="Arial" w:cs="Arial"/>
          <w:color w:val="111111"/>
          <w:sz w:val="41"/>
          <w:szCs w:val="41"/>
          <w:lang w:val="es-AR"/>
        </w:rPr>
        <w:lastRenderedPageBreak/>
        <w:t>Los años más productivos para calcular la pensión</w:t>
      </w:r>
    </w:p>
    <w:p w:rsidR="00B34A64" w:rsidRPr="00B34A64" w:rsidRDefault="00B34A64" w:rsidP="00B34A64">
      <w:pPr>
        <w:shd w:val="clear" w:color="auto" w:fill="FFFFFF"/>
        <w:spacing w:after="390" w:line="390" w:lineRule="atLeast"/>
        <w:rPr>
          <w:rFonts w:ascii="Verdana" w:eastAsia="Times New Roman" w:hAnsi="Verdana" w:cs="Times New Roman"/>
          <w:b/>
          <w:color w:val="222222"/>
          <w:sz w:val="23"/>
          <w:szCs w:val="23"/>
          <w:lang w:val="es-AR"/>
        </w:rPr>
      </w:pPr>
      <w:r w:rsidRPr="00B34A64">
        <w:rPr>
          <w:rFonts w:ascii="Verdana" w:eastAsia="Times New Roman" w:hAnsi="Verdana" w:cs="Times New Roman"/>
          <w:color w:val="222222"/>
          <w:sz w:val="23"/>
          <w:szCs w:val="23"/>
          <w:lang w:val="es-AR"/>
        </w:rPr>
        <w:t>La </w:t>
      </w:r>
      <w:r w:rsidRPr="00B34A64">
        <w:rPr>
          <w:rFonts w:ascii="Verdana" w:eastAsia="Times New Roman" w:hAnsi="Verdana" w:cs="Times New Roman"/>
          <w:b/>
          <w:bCs/>
          <w:color w:val="222222"/>
          <w:sz w:val="23"/>
          <w:szCs w:val="23"/>
          <w:lang w:val="es-AR"/>
        </w:rPr>
        <w:t>recomendación 5</w:t>
      </w:r>
      <w:r w:rsidRPr="00B34A64">
        <w:rPr>
          <w:rFonts w:ascii="Verdana" w:eastAsia="Times New Roman" w:hAnsi="Verdana" w:cs="Times New Roman"/>
          <w:color w:val="222222"/>
          <w:sz w:val="23"/>
          <w:szCs w:val="23"/>
          <w:lang w:val="es-AR"/>
        </w:rPr>
        <w:t xml:space="preserve"> está dedicada a los periodos de cotización. Posibilita la elección de los años más favorables para el cálculo de la base reguladora de la pensión. Una solución interesante para aquellos </w:t>
      </w:r>
      <w:r w:rsidRPr="00B34A64">
        <w:rPr>
          <w:rFonts w:ascii="Verdana" w:eastAsia="Times New Roman" w:hAnsi="Verdana" w:cs="Times New Roman"/>
          <w:b/>
          <w:color w:val="222222"/>
          <w:sz w:val="23"/>
          <w:szCs w:val="23"/>
          <w:lang w:val="es-AR"/>
        </w:rPr>
        <w:t>trabajadores que durante un largo periodo han visto reducidas sus bases de cotización (parados de larga duración, por ejemplo).</w:t>
      </w:r>
    </w:p>
    <w:p w:rsidR="00B34A64" w:rsidRPr="00B34A64" w:rsidRDefault="00B34A64" w:rsidP="00B34A64">
      <w:pPr>
        <w:shd w:val="clear" w:color="auto" w:fill="FFFFFF"/>
        <w:spacing w:after="390" w:line="390" w:lineRule="atLeast"/>
        <w:rPr>
          <w:rFonts w:ascii="Verdana" w:eastAsia="Times New Roman" w:hAnsi="Verdana" w:cs="Times New Roman"/>
          <w:color w:val="222222"/>
          <w:sz w:val="23"/>
          <w:szCs w:val="23"/>
          <w:lang w:val="es-AR"/>
        </w:rPr>
      </w:pPr>
      <w:r w:rsidRPr="00B34A64">
        <w:rPr>
          <w:rFonts w:ascii="Verdana" w:eastAsia="Times New Roman" w:hAnsi="Verdana" w:cs="Times New Roman"/>
          <w:color w:val="222222"/>
          <w:sz w:val="23"/>
          <w:szCs w:val="23"/>
          <w:lang w:val="es-AR"/>
        </w:rPr>
        <w:t xml:space="preserve">En el caso de vidas laborales muy prolongadas (más de 40 años), el trabajador </w:t>
      </w:r>
      <w:r w:rsidRPr="00B34A64">
        <w:rPr>
          <w:rFonts w:ascii="Verdana" w:eastAsia="Times New Roman" w:hAnsi="Verdana" w:cs="Times New Roman"/>
          <w:b/>
          <w:color w:val="222222"/>
          <w:sz w:val="23"/>
          <w:szCs w:val="23"/>
          <w:lang w:val="es-AR"/>
        </w:rPr>
        <w:t>podría descartar algún periodo concreto o escoger el tramo laboral que mejor sirva de base para el cálculo de su pensión</w:t>
      </w:r>
      <w:r w:rsidRPr="00B34A64">
        <w:rPr>
          <w:rFonts w:ascii="Verdana" w:eastAsia="Times New Roman" w:hAnsi="Verdana" w:cs="Times New Roman"/>
          <w:color w:val="222222"/>
          <w:sz w:val="23"/>
          <w:szCs w:val="23"/>
          <w:lang w:val="es-AR"/>
        </w:rPr>
        <w:t>. Con esto, se apuesta por la </w:t>
      </w:r>
      <w:proofErr w:type="spellStart"/>
      <w:r w:rsidRPr="00B34A64">
        <w:rPr>
          <w:rFonts w:ascii="Verdana" w:eastAsia="Times New Roman" w:hAnsi="Verdana" w:cs="Times New Roman"/>
          <w:color w:val="222222"/>
          <w:sz w:val="23"/>
          <w:szCs w:val="23"/>
        </w:rPr>
        <w:fldChar w:fldCharType="begin"/>
      </w:r>
      <w:r w:rsidRPr="00B34A64">
        <w:rPr>
          <w:rFonts w:ascii="Verdana" w:eastAsia="Times New Roman" w:hAnsi="Verdana" w:cs="Times New Roman"/>
          <w:color w:val="222222"/>
          <w:sz w:val="23"/>
          <w:szCs w:val="23"/>
          <w:lang w:val="es-AR"/>
        </w:rPr>
        <w:instrText xml:space="preserve"> HYPERLINK "https://dle.rae.es/contributivo" \t "_blank" </w:instrText>
      </w:r>
      <w:r w:rsidRPr="00B34A64">
        <w:rPr>
          <w:rFonts w:ascii="Verdana" w:eastAsia="Times New Roman" w:hAnsi="Verdana" w:cs="Times New Roman"/>
          <w:color w:val="222222"/>
          <w:sz w:val="23"/>
          <w:szCs w:val="23"/>
        </w:rPr>
        <w:fldChar w:fldCharType="separate"/>
      </w:r>
      <w:r w:rsidRPr="00B34A64">
        <w:rPr>
          <w:rFonts w:ascii="Verdana" w:eastAsia="Times New Roman" w:hAnsi="Verdana" w:cs="Times New Roman"/>
          <w:color w:val="3949AB"/>
          <w:sz w:val="23"/>
          <w:szCs w:val="23"/>
          <w:lang w:val="es-AR"/>
        </w:rPr>
        <w:t>contributividad</w:t>
      </w:r>
      <w:proofErr w:type="spellEnd"/>
      <w:r w:rsidRPr="00B34A64">
        <w:rPr>
          <w:rFonts w:ascii="Verdana" w:eastAsia="Times New Roman" w:hAnsi="Verdana" w:cs="Times New Roman"/>
          <w:color w:val="222222"/>
          <w:sz w:val="23"/>
          <w:szCs w:val="23"/>
        </w:rPr>
        <w:fldChar w:fldCharType="end"/>
      </w:r>
      <w:r w:rsidRPr="00B34A64">
        <w:rPr>
          <w:rFonts w:ascii="Verdana" w:eastAsia="Times New Roman" w:hAnsi="Verdana" w:cs="Times New Roman"/>
          <w:color w:val="222222"/>
          <w:sz w:val="23"/>
          <w:szCs w:val="23"/>
          <w:lang w:val="es-AR"/>
        </w:rPr>
        <w:t> del sistema </w:t>
      </w:r>
      <w:r w:rsidRPr="00B34A64">
        <w:rPr>
          <w:rFonts w:ascii="Verdana" w:eastAsia="Times New Roman" w:hAnsi="Verdana" w:cs="Times New Roman"/>
          <w:b/>
          <w:bCs/>
          <w:color w:val="222222"/>
          <w:sz w:val="23"/>
          <w:szCs w:val="23"/>
          <w:lang w:val="es-AR"/>
        </w:rPr>
        <w:t>(recomendación 11)</w:t>
      </w:r>
      <w:r w:rsidRPr="00B34A64">
        <w:rPr>
          <w:rFonts w:ascii="Verdana" w:eastAsia="Times New Roman" w:hAnsi="Verdana" w:cs="Times New Roman"/>
          <w:color w:val="222222"/>
          <w:sz w:val="23"/>
          <w:szCs w:val="23"/>
          <w:lang w:val="es-AR"/>
        </w:rPr>
        <w:t>.</w:t>
      </w:r>
    </w:p>
    <w:p w:rsidR="00B34A64" w:rsidRPr="00B34A64" w:rsidRDefault="00B34A64" w:rsidP="00B34A64">
      <w:pPr>
        <w:shd w:val="clear" w:color="auto" w:fill="FFFFFF"/>
        <w:spacing w:after="390" w:line="390" w:lineRule="atLeast"/>
        <w:rPr>
          <w:rFonts w:ascii="Verdana" w:eastAsia="Times New Roman" w:hAnsi="Verdana" w:cs="Times New Roman"/>
          <w:color w:val="222222"/>
          <w:sz w:val="23"/>
          <w:szCs w:val="23"/>
          <w:lang w:val="es-AR"/>
        </w:rPr>
      </w:pPr>
      <w:r w:rsidRPr="00B34A64">
        <w:rPr>
          <w:rFonts w:ascii="Verdana" w:eastAsia="Times New Roman" w:hAnsi="Verdana" w:cs="Times New Roman"/>
          <w:color w:val="222222"/>
          <w:sz w:val="23"/>
          <w:szCs w:val="23"/>
          <w:lang w:val="es-AR"/>
        </w:rPr>
        <w:t>Las </w:t>
      </w:r>
      <w:r w:rsidRPr="00B34A64">
        <w:rPr>
          <w:rFonts w:ascii="Verdana" w:eastAsia="Times New Roman" w:hAnsi="Verdana" w:cs="Times New Roman"/>
          <w:b/>
          <w:bCs/>
          <w:color w:val="222222"/>
          <w:sz w:val="23"/>
          <w:szCs w:val="23"/>
          <w:lang w:val="es-AR"/>
        </w:rPr>
        <w:t>recomendaciones 7 a 10</w:t>
      </w:r>
      <w:r w:rsidRPr="00B34A64">
        <w:rPr>
          <w:rFonts w:ascii="Verdana" w:eastAsia="Times New Roman" w:hAnsi="Verdana" w:cs="Times New Roman"/>
          <w:color w:val="222222"/>
          <w:sz w:val="23"/>
          <w:szCs w:val="23"/>
          <w:lang w:val="es-AR"/>
        </w:rPr>
        <w:t>, incluyen diversas necesidades en el ámbito de la seguridad social:</w:t>
      </w:r>
    </w:p>
    <w:p w:rsidR="00B34A64" w:rsidRPr="00B34A64" w:rsidRDefault="00B34A64" w:rsidP="00B34A64">
      <w:pPr>
        <w:numPr>
          <w:ilvl w:val="0"/>
          <w:numId w:val="3"/>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s-AR"/>
        </w:rPr>
      </w:pPr>
      <w:r w:rsidRPr="00B34A64">
        <w:rPr>
          <w:rFonts w:ascii="Verdana" w:eastAsia="Times New Roman" w:hAnsi="Verdana" w:cs="Times New Roman"/>
          <w:color w:val="222222"/>
          <w:sz w:val="23"/>
          <w:szCs w:val="23"/>
          <w:lang w:val="es-AR"/>
        </w:rPr>
        <w:t>Que el Gobierno cumpla con las obligaciones de información contenidas en el </w:t>
      </w:r>
      <w:hyperlink r:id="rId15" w:anchor="a17" w:tgtFrame="_blank" w:history="1">
        <w:r w:rsidRPr="00B34A64">
          <w:rPr>
            <w:rFonts w:ascii="Verdana" w:eastAsia="Times New Roman" w:hAnsi="Verdana" w:cs="Times New Roman"/>
            <w:color w:val="3949AB"/>
            <w:sz w:val="23"/>
            <w:szCs w:val="23"/>
            <w:lang w:val="es-AR"/>
          </w:rPr>
          <w:t>artículo 17 LGSS</w:t>
        </w:r>
      </w:hyperlink>
      <w:r w:rsidRPr="00B34A64">
        <w:rPr>
          <w:rFonts w:ascii="Verdana" w:eastAsia="Times New Roman" w:hAnsi="Verdana" w:cs="Times New Roman"/>
          <w:color w:val="222222"/>
          <w:sz w:val="23"/>
          <w:szCs w:val="23"/>
          <w:lang w:val="es-AR"/>
        </w:rPr>
        <w:t>, para que cada ciudadano pueda disponer de información periódica individualizada sobre sus futuros derechos de pensión.</w:t>
      </w:r>
    </w:p>
    <w:p w:rsidR="00B34A64" w:rsidRPr="00B34A64" w:rsidRDefault="00B34A64" w:rsidP="00B34A64">
      <w:pPr>
        <w:numPr>
          <w:ilvl w:val="0"/>
          <w:numId w:val="3"/>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s-AR"/>
        </w:rPr>
      </w:pPr>
      <w:r w:rsidRPr="00B34A64">
        <w:rPr>
          <w:rFonts w:ascii="Verdana" w:eastAsia="Times New Roman" w:hAnsi="Verdana" w:cs="Times New Roman"/>
          <w:color w:val="222222"/>
          <w:sz w:val="23"/>
          <w:szCs w:val="23"/>
          <w:lang w:val="es-AR"/>
        </w:rPr>
        <w:t>Una gestión eficaz y eficiente del sistema de Seguridad Social, que pasa por el diseño y la aplicación de un plan integral de recuperación y renovación de su plantilla.</w:t>
      </w:r>
    </w:p>
    <w:p w:rsidR="00B34A64" w:rsidRPr="00B34A64" w:rsidRDefault="00B34A64" w:rsidP="00B34A64">
      <w:pPr>
        <w:numPr>
          <w:ilvl w:val="0"/>
          <w:numId w:val="3"/>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s-AR"/>
        </w:rPr>
      </w:pPr>
      <w:r w:rsidRPr="00B34A64">
        <w:rPr>
          <w:rFonts w:ascii="Verdana" w:eastAsia="Times New Roman" w:hAnsi="Verdana" w:cs="Times New Roman"/>
          <w:color w:val="222222"/>
          <w:sz w:val="23"/>
          <w:szCs w:val="23"/>
          <w:lang w:val="es-AR"/>
        </w:rPr>
        <w:t>Mayor coordinación entre el sistema de prestaciones de la Seguridad Social y los sistemas asistenciales autonómicos.</w:t>
      </w:r>
    </w:p>
    <w:p w:rsidR="00B34A64" w:rsidRPr="00B34A64" w:rsidRDefault="00B34A64" w:rsidP="00B34A64">
      <w:pPr>
        <w:numPr>
          <w:ilvl w:val="0"/>
          <w:numId w:val="3"/>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s-AR"/>
        </w:rPr>
      </w:pPr>
      <w:r w:rsidRPr="00B34A64">
        <w:rPr>
          <w:rFonts w:ascii="Verdana" w:eastAsia="Times New Roman" w:hAnsi="Verdana" w:cs="Times New Roman"/>
          <w:color w:val="222222"/>
          <w:sz w:val="23"/>
          <w:szCs w:val="23"/>
          <w:lang w:val="es-AR"/>
        </w:rPr>
        <w:t>Dar mayor flexibilidad a las mutuas colaboradoras en el uso de los recursos, a la vez que haya un estricto control por parte de la Seguridad Social; avanzar en una mejor utilización de los medios y la experiencia de las mutuas.</w:t>
      </w:r>
    </w:p>
    <w:p w:rsidR="00B34A64" w:rsidRPr="00B34A64" w:rsidRDefault="00B34A64" w:rsidP="00B34A64">
      <w:pPr>
        <w:numPr>
          <w:ilvl w:val="0"/>
          <w:numId w:val="3"/>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s-AR"/>
        </w:rPr>
      </w:pPr>
      <w:r w:rsidRPr="00B34A64">
        <w:rPr>
          <w:rFonts w:ascii="Verdana" w:eastAsia="Times New Roman" w:hAnsi="Verdana" w:cs="Times New Roman"/>
          <w:color w:val="222222"/>
          <w:sz w:val="23"/>
          <w:szCs w:val="23"/>
          <w:lang w:val="es-AR"/>
        </w:rPr>
        <w:lastRenderedPageBreak/>
        <w:t>Eliminar lagunas legislativas para evitar el fraude en el régimen de afiliación de los trabajadores (por ejemplo, los </w:t>
      </w:r>
      <w:hyperlink r:id="rId16" w:tgtFrame="_blank" w:history="1">
        <w:r w:rsidRPr="00B34A64">
          <w:rPr>
            <w:rFonts w:ascii="Verdana" w:eastAsia="Times New Roman" w:hAnsi="Verdana" w:cs="Times New Roman"/>
            <w:color w:val="3949AB"/>
            <w:sz w:val="23"/>
            <w:szCs w:val="23"/>
            <w:lang w:val="es-AR"/>
          </w:rPr>
          <w:t>falsos autónomos</w:t>
        </w:r>
      </w:hyperlink>
      <w:r w:rsidRPr="00B34A64">
        <w:rPr>
          <w:rFonts w:ascii="Verdana" w:eastAsia="Times New Roman" w:hAnsi="Verdana" w:cs="Times New Roman"/>
          <w:color w:val="222222"/>
          <w:sz w:val="23"/>
          <w:szCs w:val="23"/>
          <w:lang w:val="es-AR"/>
        </w:rPr>
        <w:t>).</w:t>
      </w:r>
    </w:p>
    <w:p w:rsidR="00B34A64" w:rsidRPr="00B34A64" w:rsidRDefault="00B34A64" w:rsidP="00B34A64">
      <w:pPr>
        <w:numPr>
          <w:ilvl w:val="0"/>
          <w:numId w:val="3"/>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s-AR"/>
        </w:rPr>
      </w:pPr>
      <w:r w:rsidRPr="00B34A64">
        <w:rPr>
          <w:rFonts w:ascii="Verdana" w:eastAsia="Times New Roman" w:hAnsi="Verdana" w:cs="Times New Roman"/>
          <w:color w:val="222222"/>
          <w:sz w:val="23"/>
          <w:szCs w:val="23"/>
          <w:lang w:val="es-AR"/>
        </w:rPr>
        <w:t>Endurecer las sanciones a las empresas que no cumplan con sus compromisos con la Seguridad Social.</w:t>
      </w:r>
    </w:p>
    <w:p w:rsidR="00B34A64" w:rsidRPr="00B34A64" w:rsidRDefault="00B34A64" w:rsidP="00B34A64">
      <w:pPr>
        <w:numPr>
          <w:ilvl w:val="0"/>
          <w:numId w:val="3"/>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s-AR"/>
        </w:rPr>
      </w:pPr>
      <w:r w:rsidRPr="00B34A64">
        <w:rPr>
          <w:rFonts w:ascii="Verdana" w:eastAsia="Times New Roman" w:hAnsi="Verdana" w:cs="Times New Roman"/>
          <w:color w:val="222222"/>
          <w:sz w:val="23"/>
          <w:szCs w:val="23"/>
          <w:lang w:val="es-AR"/>
        </w:rPr>
        <w:t>Garantizar una relación equilibrada entre el importe de la prestación reconocida y el esfuerzo de cotización previamente realizado por cada trabajador.</w:t>
      </w:r>
    </w:p>
    <w:p w:rsidR="00B34A64" w:rsidRPr="00B34A64" w:rsidRDefault="00B34A64" w:rsidP="00B34A64">
      <w:pPr>
        <w:shd w:val="clear" w:color="auto" w:fill="FFFFFF"/>
        <w:spacing w:before="450" w:after="300" w:line="570" w:lineRule="atLeast"/>
        <w:outlineLvl w:val="1"/>
        <w:rPr>
          <w:rFonts w:ascii="Arial" w:eastAsia="Times New Roman" w:hAnsi="Arial" w:cs="Arial"/>
          <w:color w:val="111111"/>
          <w:sz w:val="41"/>
          <w:szCs w:val="41"/>
          <w:lang w:val="es-AR"/>
        </w:rPr>
      </w:pPr>
      <w:r w:rsidRPr="00B34A64">
        <w:rPr>
          <w:rFonts w:ascii="Arial" w:eastAsia="Times New Roman" w:hAnsi="Arial" w:cs="Arial"/>
          <w:color w:val="111111"/>
          <w:sz w:val="41"/>
          <w:szCs w:val="41"/>
          <w:lang w:val="es-AR"/>
        </w:rPr>
        <w:t>Evitar la jubilación anticipada</w:t>
      </w:r>
    </w:p>
    <w:p w:rsidR="00B34A64" w:rsidRPr="00B34A64" w:rsidRDefault="00B34A64" w:rsidP="00B34A64">
      <w:pPr>
        <w:shd w:val="clear" w:color="auto" w:fill="FFFFFF"/>
        <w:spacing w:after="390" w:line="390" w:lineRule="atLeast"/>
        <w:rPr>
          <w:rFonts w:ascii="Verdana" w:eastAsia="Times New Roman" w:hAnsi="Verdana" w:cs="Times New Roman"/>
          <w:color w:val="222222"/>
          <w:sz w:val="23"/>
          <w:szCs w:val="23"/>
          <w:lang w:val="es-AR"/>
        </w:rPr>
      </w:pPr>
      <w:r w:rsidRPr="00B34A64">
        <w:rPr>
          <w:rFonts w:ascii="Verdana" w:eastAsia="Times New Roman" w:hAnsi="Verdana" w:cs="Times New Roman"/>
          <w:color w:val="222222"/>
          <w:sz w:val="23"/>
          <w:szCs w:val="23"/>
          <w:lang w:val="es-AR"/>
        </w:rPr>
        <w:t>La Comisión apuesta, en la </w:t>
      </w:r>
      <w:r w:rsidRPr="00B34A64">
        <w:rPr>
          <w:rFonts w:ascii="Verdana" w:eastAsia="Times New Roman" w:hAnsi="Verdana" w:cs="Times New Roman"/>
          <w:b/>
          <w:bCs/>
          <w:color w:val="222222"/>
          <w:sz w:val="23"/>
          <w:szCs w:val="23"/>
          <w:lang w:val="es-AR"/>
        </w:rPr>
        <w:t>recomendación 12</w:t>
      </w:r>
      <w:r w:rsidRPr="00B34A64">
        <w:rPr>
          <w:rFonts w:ascii="Verdana" w:eastAsia="Times New Roman" w:hAnsi="Verdana" w:cs="Times New Roman"/>
          <w:color w:val="222222"/>
          <w:sz w:val="23"/>
          <w:szCs w:val="23"/>
          <w:lang w:val="es-AR"/>
        </w:rPr>
        <w:t>, porque la edad de salida efectiva del mercado de trabajo se aproxime al máximo a la edad de jubilación legalmente establecida.</w:t>
      </w:r>
    </w:p>
    <w:p w:rsidR="00B34A64" w:rsidRPr="00B34A64" w:rsidRDefault="00B34A64" w:rsidP="00B34A64">
      <w:pPr>
        <w:shd w:val="clear" w:color="auto" w:fill="FFFFFF"/>
        <w:spacing w:after="390" w:line="390" w:lineRule="atLeast"/>
        <w:rPr>
          <w:rFonts w:ascii="Verdana" w:eastAsia="Times New Roman" w:hAnsi="Verdana" w:cs="Times New Roman"/>
          <w:color w:val="222222"/>
          <w:sz w:val="23"/>
          <w:szCs w:val="23"/>
          <w:lang w:val="es-AR"/>
        </w:rPr>
      </w:pPr>
      <w:r w:rsidRPr="00B34A64">
        <w:rPr>
          <w:rFonts w:ascii="Verdana" w:eastAsia="Times New Roman" w:hAnsi="Verdana" w:cs="Times New Roman"/>
          <w:color w:val="222222"/>
          <w:sz w:val="23"/>
          <w:szCs w:val="23"/>
          <w:lang w:val="es-AR"/>
        </w:rPr>
        <w:t>Propone profundizar en los estímulos a la prolongación voluntaria de la vida laboral, a la vez que apuesta por revisar el acceso a la jubilación anticipada, de manera que los coeficientes reductores (de la pensión) sean equitativos.</w:t>
      </w:r>
    </w:p>
    <w:p w:rsidR="00B34A64" w:rsidRPr="00B34A64" w:rsidRDefault="00B34A64" w:rsidP="00B34A64">
      <w:pPr>
        <w:shd w:val="clear" w:color="auto" w:fill="FFFFFF"/>
        <w:spacing w:after="390" w:line="390" w:lineRule="atLeast"/>
        <w:rPr>
          <w:rFonts w:ascii="Verdana" w:eastAsia="Times New Roman" w:hAnsi="Verdana" w:cs="Times New Roman"/>
          <w:color w:val="222222"/>
          <w:sz w:val="23"/>
          <w:szCs w:val="23"/>
          <w:lang w:val="es-AR"/>
        </w:rPr>
      </w:pPr>
      <w:r w:rsidRPr="00B34A64">
        <w:rPr>
          <w:rFonts w:ascii="Verdana" w:eastAsia="Times New Roman" w:hAnsi="Verdana" w:cs="Times New Roman"/>
          <w:color w:val="222222"/>
          <w:sz w:val="23"/>
          <w:szCs w:val="23"/>
          <w:lang w:val="es-AR"/>
        </w:rPr>
        <w:t>Esta recomendación tiene una repercusión práctica importantísima, pues contempla tanto el debate sobre el retraso en la edad de jubilación, como la necesidad de frenar las jubilaciones anticipadas que socavan el sostenimiento del sistema.</w:t>
      </w:r>
    </w:p>
    <w:p w:rsidR="00B34A64" w:rsidRPr="00B34A64" w:rsidRDefault="00B34A64" w:rsidP="00B34A64">
      <w:pPr>
        <w:shd w:val="clear" w:color="auto" w:fill="FFFFFF"/>
        <w:spacing w:after="390" w:line="390" w:lineRule="atLeast"/>
        <w:rPr>
          <w:rFonts w:ascii="Verdana" w:eastAsia="Times New Roman" w:hAnsi="Verdana" w:cs="Times New Roman"/>
          <w:color w:val="222222"/>
          <w:sz w:val="23"/>
          <w:szCs w:val="23"/>
          <w:lang w:val="es-AR"/>
        </w:rPr>
      </w:pPr>
      <w:r w:rsidRPr="00B34A64">
        <w:rPr>
          <w:rFonts w:ascii="Verdana" w:eastAsia="Times New Roman" w:hAnsi="Verdana" w:cs="Times New Roman"/>
          <w:color w:val="222222"/>
          <w:sz w:val="23"/>
          <w:szCs w:val="23"/>
          <w:lang w:val="es-AR"/>
        </w:rPr>
        <w:t>En definitiva, lo que se busca es acercar la edad efectiva a la edad legal mediante:</w:t>
      </w:r>
    </w:p>
    <w:p w:rsidR="00B34A64" w:rsidRPr="00B34A64" w:rsidRDefault="00B34A64" w:rsidP="00B34A64">
      <w:pPr>
        <w:numPr>
          <w:ilvl w:val="0"/>
          <w:numId w:val="4"/>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s-AR"/>
        </w:rPr>
      </w:pPr>
      <w:r w:rsidRPr="00B34A64">
        <w:rPr>
          <w:rFonts w:ascii="Verdana" w:eastAsia="Times New Roman" w:hAnsi="Verdana" w:cs="Times New Roman"/>
          <w:color w:val="222222"/>
          <w:sz w:val="23"/>
          <w:szCs w:val="23"/>
          <w:lang w:val="es-AR"/>
        </w:rPr>
        <w:t>Un sistema de incentivos que induzca a las personas a trabajar por más tiempo, mejorando la bonificación de ese retraso. Eso sería pasar del 3,2% actual de media a porcentajes similares a los de nuestros vecinos europeos: Francia (5%), Alemania (6%) o Reino Unido (10,4%).</w:t>
      </w:r>
    </w:p>
    <w:p w:rsidR="00B34A64" w:rsidRPr="00B34A64" w:rsidRDefault="00B34A64" w:rsidP="00B34A64">
      <w:pPr>
        <w:numPr>
          <w:ilvl w:val="0"/>
          <w:numId w:val="4"/>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s-AR"/>
        </w:rPr>
      </w:pPr>
      <w:r w:rsidRPr="00B34A64">
        <w:rPr>
          <w:rFonts w:ascii="Verdana" w:eastAsia="Times New Roman" w:hAnsi="Verdana" w:cs="Times New Roman"/>
          <w:color w:val="222222"/>
          <w:sz w:val="23"/>
          <w:szCs w:val="23"/>
          <w:lang w:val="es-AR"/>
        </w:rPr>
        <w:lastRenderedPageBreak/>
        <w:t>La aplicación de fórmulas mixtas que faciliten compatibilizar el mantenimiento de la pensión con el trabajo retribuido.</w:t>
      </w:r>
    </w:p>
    <w:p w:rsidR="00B34A64" w:rsidRPr="00B34A64" w:rsidRDefault="00B34A64" w:rsidP="00B34A64">
      <w:pPr>
        <w:shd w:val="clear" w:color="auto" w:fill="FFFFFF"/>
        <w:spacing w:before="450" w:after="300" w:line="570" w:lineRule="atLeast"/>
        <w:outlineLvl w:val="1"/>
        <w:rPr>
          <w:rFonts w:ascii="Arial" w:eastAsia="Times New Roman" w:hAnsi="Arial" w:cs="Arial"/>
          <w:color w:val="111111"/>
          <w:sz w:val="41"/>
          <w:szCs w:val="41"/>
          <w:lang w:val="es-AR"/>
        </w:rPr>
      </w:pPr>
      <w:r w:rsidRPr="00B34A64">
        <w:rPr>
          <w:rFonts w:ascii="Arial" w:eastAsia="Times New Roman" w:hAnsi="Arial" w:cs="Arial"/>
          <w:color w:val="111111"/>
          <w:sz w:val="41"/>
          <w:szCs w:val="41"/>
          <w:lang w:val="es-AR"/>
        </w:rPr>
        <w:t>Cambian las pensiones de viudedad y orfandad</w:t>
      </w:r>
    </w:p>
    <w:p w:rsidR="00B34A64" w:rsidRPr="00B34A64" w:rsidRDefault="00B34A64" w:rsidP="00B34A64">
      <w:pPr>
        <w:shd w:val="clear" w:color="auto" w:fill="FFFFFF"/>
        <w:spacing w:after="390" w:line="390" w:lineRule="atLeast"/>
        <w:rPr>
          <w:rFonts w:ascii="Verdana" w:eastAsia="Times New Roman" w:hAnsi="Verdana" w:cs="Times New Roman"/>
          <w:color w:val="222222"/>
          <w:sz w:val="23"/>
          <w:szCs w:val="23"/>
          <w:lang w:val="es-AR"/>
        </w:rPr>
      </w:pPr>
      <w:r w:rsidRPr="00B34A64">
        <w:rPr>
          <w:rFonts w:ascii="Verdana" w:eastAsia="Times New Roman" w:hAnsi="Verdana" w:cs="Times New Roman"/>
          <w:color w:val="222222"/>
          <w:sz w:val="23"/>
          <w:szCs w:val="23"/>
          <w:lang w:val="es-AR"/>
        </w:rPr>
        <w:t>La Comisión propone, en la </w:t>
      </w:r>
      <w:r w:rsidRPr="00B34A64">
        <w:rPr>
          <w:rFonts w:ascii="Verdana" w:eastAsia="Times New Roman" w:hAnsi="Verdana" w:cs="Times New Roman"/>
          <w:b/>
          <w:bCs/>
          <w:color w:val="222222"/>
          <w:sz w:val="23"/>
          <w:szCs w:val="23"/>
          <w:lang w:val="es-AR"/>
        </w:rPr>
        <w:t>recomendación 13</w:t>
      </w:r>
      <w:r w:rsidRPr="00B34A64">
        <w:rPr>
          <w:rFonts w:ascii="Verdana" w:eastAsia="Times New Roman" w:hAnsi="Verdana" w:cs="Times New Roman"/>
          <w:color w:val="222222"/>
          <w:sz w:val="23"/>
          <w:szCs w:val="23"/>
          <w:lang w:val="es-AR"/>
        </w:rPr>
        <w:t xml:space="preserve">, reformular las pensiones de viudedad y de orfandad, manteniendo su carácter </w:t>
      </w:r>
      <w:proofErr w:type="gramStart"/>
      <w:r w:rsidRPr="00B34A64">
        <w:rPr>
          <w:rFonts w:ascii="Verdana" w:eastAsia="Times New Roman" w:hAnsi="Verdana" w:cs="Times New Roman"/>
          <w:color w:val="222222"/>
          <w:sz w:val="23"/>
          <w:szCs w:val="23"/>
          <w:lang w:val="es-AR"/>
        </w:rPr>
        <w:t>contributivo</w:t>
      </w:r>
      <w:proofErr w:type="gramEnd"/>
      <w:r w:rsidRPr="00B34A64">
        <w:rPr>
          <w:rFonts w:ascii="Verdana" w:eastAsia="Times New Roman" w:hAnsi="Verdana" w:cs="Times New Roman"/>
          <w:color w:val="222222"/>
          <w:sz w:val="23"/>
          <w:szCs w:val="23"/>
          <w:lang w:val="es-AR"/>
        </w:rPr>
        <w:t xml:space="preserve"> pero ajustándolas a las nuevas realidades sociales y familiares, y tomando en cuenta las circunstancias socioeconómicas de los beneficiarios.</w:t>
      </w:r>
    </w:p>
    <w:p w:rsidR="00B34A64" w:rsidRPr="00B34A64" w:rsidRDefault="00B34A64" w:rsidP="00B34A64">
      <w:pPr>
        <w:shd w:val="clear" w:color="auto" w:fill="FFFFFF"/>
        <w:spacing w:after="390" w:line="390" w:lineRule="atLeast"/>
        <w:rPr>
          <w:rFonts w:ascii="Verdana" w:eastAsia="Times New Roman" w:hAnsi="Verdana" w:cs="Times New Roman"/>
          <w:color w:val="222222"/>
          <w:sz w:val="23"/>
          <w:szCs w:val="23"/>
          <w:lang w:val="es-AR"/>
        </w:rPr>
      </w:pPr>
      <w:r w:rsidRPr="00B34A64">
        <w:rPr>
          <w:rFonts w:ascii="Verdana" w:eastAsia="Times New Roman" w:hAnsi="Verdana" w:cs="Times New Roman"/>
          <w:color w:val="222222"/>
          <w:sz w:val="23"/>
          <w:szCs w:val="23"/>
          <w:lang w:val="es-AR"/>
        </w:rPr>
        <w:t xml:space="preserve">En particular, plantea que las </w:t>
      </w:r>
      <w:r w:rsidRPr="00B34A64">
        <w:rPr>
          <w:rFonts w:ascii="Verdana" w:eastAsia="Times New Roman" w:hAnsi="Verdana" w:cs="Times New Roman"/>
          <w:b/>
          <w:color w:val="222222"/>
          <w:sz w:val="23"/>
          <w:szCs w:val="23"/>
          <w:lang w:val="es-AR"/>
        </w:rPr>
        <w:t>pensiones de viudedad deben concentrarse en las personas beneficiarias mayores de 65 años, cuya pensión constituye su principal fuente de ingresos</w:t>
      </w:r>
      <w:r w:rsidRPr="00B34A64">
        <w:rPr>
          <w:rFonts w:ascii="Verdana" w:eastAsia="Times New Roman" w:hAnsi="Verdana" w:cs="Times New Roman"/>
          <w:color w:val="222222"/>
          <w:sz w:val="23"/>
          <w:szCs w:val="23"/>
          <w:lang w:val="es-AR"/>
        </w:rPr>
        <w:t xml:space="preserve">. En cuanto a las de orfandad, se apuesta por una mejora en la cuantía. Lo que se busca es acabar con el carácter universal de estas pensiones, destinándolas a </w:t>
      </w:r>
      <w:r w:rsidRPr="00B34A64">
        <w:rPr>
          <w:rFonts w:ascii="Verdana" w:eastAsia="Times New Roman" w:hAnsi="Verdana" w:cs="Times New Roman"/>
          <w:b/>
          <w:color w:val="222222"/>
          <w:sz w:val="23"/>
          <w:szCs w:val="23"/>
          <w:lang w:val="es-AR"/>
        </w:rPr>
        <w:t>quienes realmente las necesitan,</w:t>
      </w:r>
      <w:r w:rsidRPr="00B34A64">
        <w:rPr>
          <w:rFonts w:ascii="Verdana" w:eastAsia="Times New Roman" w:hAnsi="Verdana" w:cs="Times New Roman"/>
          <w:color w:val="222222"/>
          <w:sz w:val="23"/>
          <w:szCs w:val="23"/>
          <w:lang w:val="es-AR"/>
        </w:rPr>
        <w:t xml:space="preserve"> y elevar sus cuantías, históricamente deficitarias.</w:t>
      </w:r>
    </w:p>
    <w:p w:rsidR="00B34A64" w:rsidRPr="00B34A64" w:rsidRDefault="00B34A64" w:rsidP="00B34A64">
      <w:pPr>
        <w:shd w:val="clear" w:color="auto" w:fill="FFFFFF"/>
        <w:spacing w:before="450" w:after="300" w:line="570" w:lineRule="atLeast"/>
        <w:outlineLvl w:val="1"/>
        <w:rPr>
          <w:rFonts w:ascii="Arial" w:eastAsia="Times New Roman" w:hAnsi="Arial" w:cs="Arial"/>
          <w:color w:val="111111"/>
          <w:sz w:val="41"/>
          <w:szCs w:val="41"/>
          <w:lang w:val="es-AR"/>
        </w:rPr>
      </w:pPr>
      <w:r w:rsidRPr="00B34A64">
        <w:rPr>
          <w:rFonts w:ascii="Arial" w:eastAsia="Times New Roman" w:hAnsi="Arial" w:cs="Arial"/>
          <w:color w:val="111111"/>
          <w:sz w:val="41"/>
          <w:szCs w:val="41"/>
          <w:lang w:val="es-AR"/>
        </w:rPr>
        <w:t>Protección social para el empleo doméstico (y otros)</w:t>
      </w:r>
    </w:p>
    <w:p w:rsidR="00B34A64" w:rsidRPr="00B34A64" w:rsidRDefault="00B34A64" w:rsidP="00B34A64">
      <w:pPr>
        <w:shd w:val="clear" w:color="auto" w:fill="FFFFFF"/>
        <w:spacing w:after="390" w:line="390" w:lineRule="atLeast"/>
        <w:rPr>
          <w:rFonts w:ascii="Verdana" w:eastAsia="Times New Roman" w:hAnsi="Verdana" w:cs="Times New Roman"/>
          <w:color w:val="222222"/>
          <w:sz w:val="23"/>
          <w:szCs w:val="23"/>
          <w:lang w:val="es-AR"/>
        </w:rPr>
      </w:pPr>
      <w:r w:rsidRPr="00B34A64">
        <w:rPr>
          <w:rFonts w:ascii="Verdana" w:eastAsia="Times New Roman" w:hAnsi="Verdana" w:cs="Times New Roman"/>
          <w:color w:val="222222"/>
          <w:sz w:val="23"/>
          <w:szCs w:val="23"/>
          <w:lang w:val="es-AR"/>
        </w:rPr>
        <w:t>Este acuerdo incluye referencias concretas a colectivos históricamente discriminados en el ámbito del trabajo:</w:t>
      </w:r>
    </w:p>
    <w:p w:rsidR="00B34A64" w:rsidRPr="00B34A64" w:rsidRDefault="00B34A64" w:rsidP="00B34A64">
      <w:pPr>
        <w:numPr>
          <w:ilvl w:val="0"/>
          <w:numId w:val="5"/>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s-AR"/>
        </w:rPr>
      </w:pPr>
      <w:r w:rsidRPr="00B34A64">
        <w:rPr>
          <w:rFonts w:ascii="Verdana" w:eastAsia="Times New Roman" w:hAnsi="Verdana" w:cs="Times New Roman"/>
          <w:color w:val="222222"/>
          <w:sz w:val="23"/>
          <w:szCs w:val="23"/>
          <w:lang w:val="es-AR"/>
        </w:rPr>
        <w:t>Las mujeres </w:t>
      </w:r>
      <w:r w:rsidRPr="00B34A64">
        <w:rPr>
          <w:rFonts w:ascii="Verdana" w:eastAsia="Times New Roman" w:hAnsi="Verdana" w:cs="Times New Roman"/>
          <w:b/>
          <w:bCs/>
          <w:color w:val="222222"/>
          <w:sz w:val="23"/>
          <w:szCs w:val="23"/>
          <w:lang w:val="es-AR"/>
        </w:rPr>
        <w:t>(recomendación 17)</w:t>
      </w:r>
      <w:r w:rsidRPr="00B34A64">
        <w:rPr>
          <w:rFonts w:ascii="Verdana" w:eastAsia="Times New Roman" w:hAnsi="Verdana" w:cs="Times New Roman"/>
          <w:color w:val="222222"/>
          <w:sz w:val="23"/>
          <w:szCs w:val="23"/>
          <w:lang w:val="es-AR"/>
        </w:rPr>
        <w:t xml:space="preserve">: reconoce las brechas de género (múltiples y variadas: laboral, salarial, demográfica, de pensiones…) y busca garantizar la igualdad efectiva tanto en el ámbito laboral como en el pensional. Plantea la necesidad de reformular la cuestión de los cuidados, con herramientas como los permisos parentales, para no generar vacíos de cotización en las mujeres. Reclama medidas que identifiquen las discriminaciones retributivas y corrijan las irregularidades en las carreras </w:t>
      </w:r>
      <w:r w:rsidRPr="00B34A64">
        <w:rPr>
          <w:rFonts w:ascii="Verdana" w:eastAsia="Times New Roman" w:hAnsi="Verdana" w:cs="Times New Roman"/>
          <w:color w:val="222222"/>
          <w:sz w:val="23"/>
          <w:szCs w:val="23"/>
          <w:lang w:val="es-AR"/>
        </w:rPr>
        <w:lastRenderedPageBreak/>
        <w:t>profesionales, por ejemplo, en el empleo del hogar, tan necesitado de valoración social y equiparación de condiciones laborales y de protección social.</w:t>
      </w:r>
    </w:p>
    <w:p w:rsidR="00B34A64" w:rsidRPr="00B34A64" w:rsidRDefault="00B34A64" w:rsidP="00B34A64">
      <w:pPr>
        <w:numPr>
          <w:ilvl w:val="0"/>
          <w:numId w:val="5"/>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s-AR"/>
        </w:rPr>
      </w:pPr>
      <w:r w:rsidRPr="00B34A64">
        <w:rPr>
          <w:rFonts w:ascii="Verdana" w:eastAsia="Times New Roman" w:hAnsi="Verdana" w:cs="Times New Roman"/>
          <w:color w:val="222222"/>
          <w:sz w:val="23"/>
          <w:szCs w:val="23"/>
          <w:lang w:val="es-AR"/>
        </w:rPr>
        <w:t>Los jóvenes </w:t>
      </w:r>
      <w:r w:rsidRPr="00B34A64">
        <w:rPr>
          <w:rFonts w:ascii="Verdana" w:eastAsia="Times New Roman" w:hAnsi="Verdana" w:cs="Times New Roman"/>
          <w:b/>
          <w:bCs/>
          <w:color w:val="222222"/>
          <w:sz w:val="23"/>
          <w:szCs w:val="23"/>
          <w:lang w:val="es-AR"/>
        </w:rPr>
        <w:t>(recomendación 17 bis)</w:t>
      </w:r>
      <w:r w:rsidRPr="00B34A64">
        <w:rPr>
          <w:rFonts w:ascii="Verdana" w:eastAsia="Times New Roman" w:hAnsi="Verdana" w:cs="Times New Roman"/>
          <w:color w:val="222222"/>
          <w:sz w:val="23"/>
          <w:szCs w:val="23"/>
          <w:lang w:val="es-AR"/>
        </w:rPr>
        <w:t>: el acuerdo hace un llamamiento a la mejora de las condiciones laborales de los jóvenes y a potenciar su confianza en el sistema de la Seguridad Social. Propone, por ejemplo, una legislación que garantice y mejore la protección social del colectivo de becarios.</w:t>
      </w:r>
    </w:p>
    <w:p w:rsidR="00B34A64" w:rsidRPr="00B34A64" w:rsidRDefault="00B34A64" w:rsidP="00B34A64">
      <w:pPr>
        <w:numPr>
          <w:ilvl w:val="0"/>
          <w:numId w:val="5"/>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s-AR"/>
        </w:rPr>
      </w:pPr>
      <w:r w:rsidRPr="00B34A64">
        <w:rPr>
          <w:rFonts w:ascii="Verdana" w:eastAsia="Times New Roman" w:hAnsi="Verdana" w:cs="Times New Roman"/>
          <w:color w:val="222222"/>
          <w:sz w:val="23"/>
          <w:szCs w:val="23"/>
          <w:lang w:val="es-AR"/>
        </w:rPr>
        <w:t>Las personas con discapacidad </w:t>
      </w:r>
      <w:r w:rsidRPr="00B34A64">
        <w:rPr>
          <w:rFonts w:ascii="Verdana" w:eastAsia="Times New Roman" w:hAnsi="Verdana" w:cs="Times New Roman"/>
          <w:b/>
          <w:bCs/>
          <w:color w:val="222222"/>
          <w:sz w:val="23"/>
          <w:szCs w:val="23"/>
          <w:lang w:val="es-AR"/>
        </w:rPr>
        <w:t>(recomendación 18)</w:t>
      </w:r>
      <w:r w:rsidRPr="00B34A64">
        <w:rPr>
          <w:rFonts w:ascii="Verdana" w:eastAsia="Times New Roman" w:hAnsi="Verdana" w:cs="Times New Roman"/>
          <w:color w:val="222222"/>
          <w:sz w:val="23"/>
          <w:szCs w:val="23"/>
          <w:lang w:val="es-AR"/>
        </w:rPr>
        <w:t>: reitera que la legislación debe facilitar la incorporación inclusiva al mercado de trabajo de este colectivo y, también, propiciar su mantenimiento en su actividad profesional. Recomienda modificaciones jurídicas relativas a la percepción de las pensiones por incapacidad permanente y a su compatibilidad con la realización de un trabajo.</w:t>
      </w:r>
    </w:p>
    <w:p w:rsidR="00B34A64" w:rsidRPr="00B34A64" w:rsidRDefault="00B34A64" w:rsidP="00B34A64">
      <w:pPr>
        <w:numPr>
          <w:ilvl w:val="0"/>
          <w:numId w:val="5"/>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s-AR"/>
        </w:rPr>
      </w:pPr>
      <w:r w:rsidRPr="00B34A64">
        <w:rPr>
          <w:rFonts w:ascii="Verdana" w:eastAsia="Times New Roman" w:hAnsi="Verdana" w:cs="Times New Roman"/>
          <w:color w:val="222222"/>
          <w:sz w:val="23"/>
          <w:szCs w:val="23"/>
          <w:lang w:val="es-AR"/>
        </w:rPr>
        <w:t>Los trabajadores migrantes </w:t>
      </w:r>
      <w:r w:rsidRPr="00B34A64">
        <w:rPr>
          <w:rFonts w:ascii="Verdana" w:eastAsia="Times New Roman" w:hAnsi="Verdana" w:cs="Times New Roman"/>
          <w:b/>
          <w:bCs/>
          <w:color w:val="222222"/>
          <w:sz w:val="23"/>
          <w:szCs w:val="23"/>
          <w:lang w:val="es-AR"/>
        </w:rPr>
        <w:t>(recomendación 19)</w:t>
      </w:r>
      <w:r w:rsidRPr="00B34A64">
        <w:rPr>
          <w:rFonts w:ascii="Verdana" w:eastAsia="Times New Roman" w:hAnsi="Verdana" w:cs="Times New Roman"/>
          <w:color w:val="222222"/>
          <w:sz w:val="23"/>
          <w:szCs w:val="23"/>
          <w:lang w:val="es-AR"/>
        </w:rPr>
        <w:t>: bajo la premisa de que la inmigración ayudará a fortalecer el sistema ante el envejecimiento de la población, el Pacto de Toledo apuesta por la llegada de personas a través de mecanismos que garanticen su incorporación al mercado de trabajo.</w:t>
      </w:r>
    </w:p>
    <w:p w:rsidR="00B34A64" w:rsidRPr="00B34A64" w:rsidRDefault="00B34A64" w:rsidP="00B34A64">
      <w:pPr>
        <w:shd w:val="clear" w:color="auto" w:fill="FFFFFF"/>
        <w:spacing w:before="450" w:after="300" w:line="570" w:lineRule="atLeast"/>
        <w:outlineLvl w:val="1"/>
        <w:rPr>
          <w:rFonts w:ascii="Arial" w:eastAsia="Times New Roman" w:hAnsi="Arial" w:cs="Arial"/>
          <w:color w:val="111111"/>
          <w:sz w:val="41"/>
          <w:szCs w:val="41"/>
          <w:lang w:val="es-AR"/>
        </w:rPr>
      </w:pPr>
      <w:r w:rsidRPr="00B34A64">
        <w:rPr>
          <w:rFonts w:ascii="Arial" w:eastAsia="Times New Roman" w:hAnsi="Arial" w:cs="Arial"/>
          <w:color w:val="111111"/>
          <w:sz w:val="41"/>
          <w:szCs w:val="41"/>
          <w:lang w:val="es-AR"/>
        </w:rPr>
        <w:t>La revolución tecnológica, un nuevo reto laboral</w:t>
      </w:r>
    </w:p>
    <w:p w:rsidR="00B34A64" w:rsidRPr="00B34A64" w:rsidRDefault="00B34A64" w:rsidP="00B34A64">
      <w:pPr>
        <w:shd w:val="clear" w:color="auto" w:fill="FFFFFF"/>
        <w:spacing w:after="390" w:line="390" w:lineRule="atLeast"/>
        <w:rPr>
          <w:rFonts w:ascii="Verdana" w:eastAsia="Times New Roman" w:hAnsi="Verdana" w:cs="Times New Roman"/>
          <w:color w:val="222222"/>
          <w:sz w:val="23"/>
          <w:szCs w:val="23"/>
          <w:lang w:val="es-AR"/>
        </w:rPr>
      </w:pPr>
      <w:r w:rsidRPr="00B34A64">
        <w:rPr>
          <w:rFonts w:ascii="Verdana" w:eastAsia="Times New Roman" w:hAnsi="Verdana" w:cs="Times New Roman"/>
          <w:color w:val="222222"/>
          <w:sz w:val="23"/>
          <w:szCs w:val="23"/>
          <w:lang w:val="es-AR"/>
        </w:rPr>
        <w:t>La </w:t>
      </w:r>
      <w:r w:rsidRPr="00B34A64">
        <w:rPr>
          <w:rFonts w:ascii="Verdana" w:eastAsia="Times New Roman" w:hAnsi="Verdana" w:cs="Times New Roman"/>
          <w:b/>
          <w:bCs/>
          <w:color w:val="222222"/>
          <w:sz w:val="23"/>
          <w:szCs w:val="23"/>
          <w:lang w:val="es-AR"/>
        </w:rPr>
        <w:t>(recomendación 19)</w:t>
      </w:r>
      <w:r w:rsidRPr="00B34A64">
        <w:rPr>
          <w:rFonts w:ascii="Verdana" w:eastAsia="Times New Roman" w:hAnsi="Verdana" w:cs="Times New Roman"/>
          <w:color w:val="222222"/>
          <w:sz w:val="23"/>
          <w:szCs w:val="23"/>
          <w:lang w:val="es-AR"/>
        </w:rPr>
        <w:t> también contempla los puestos de trabajo creados dentro de la economía de plataformas digitales, y advierte de los cambios en la organización del trabajo y la ordenación de las relaciones laborales que esta conlleva.</w:t>
      </w:r>
    </w:p>
    <w:p w:rsidR="00B34A64" w:rsidRPr="00B34A64" w:rsidRDefault="00B34A64" w:rsidP="00B34A64">
      <w:pPr>
        <w:shd w:val="clear" w:color="auto" w:fill="FFFFFF"/>
        <w:spacing w:after="390" w:line="390" w:lineRule="atLeast"/>
        <w:rPr>
          <w:rFonts w:ascii="Verdana" w:eastAsia="Times New Roman" w:hAnsi="Verdana" w:cs="Times New Roman"/>
          <w:b/>
          <w:color w:val="222222"/>
          <w:sz w:val="23"/>
          <w:szCs w:val="23"/>
          <w:lang w:val="es-AR"/>
        </w:rPr>
      </w:pPr>
      <w:r w:rsidRPr="00B34A64">
        <w:rPr>
          <w:rFonts w:ascii="Verdana" w:eastAsia="Times New Roman" w:hAnsi="Verdana" w:cs="Times New Roman"/>
          <w:color w:val="222222"/>
          <w:sz w:val="23"/>
          <w:szCs w:val="23"/>
          <w:lang w:val="es-AR"/>
        </w:rPr>
        <w:t xml:space="preserve">La comisión del Pacto destaca la necesidad de </w:t>
      </w:r>
      <w:r w:rsidRPr="00B34A64">
        <w:rPr>
          <w:rFonts w:ascii="Verdana" w:eastAsia="Times New Roman" w:hAnsi="Verdana" w:cs="Times New Roman"/>
          <w:b/>
          <w:color w:val="222222"/>
          <w:sz w:val="23"/>
          <w:szCs w:val="23"/>
          <w:lang w:val="es-AR"/>
        </w:rPr>
        <w:t>favorecer la inclusión de sus trabajadores dentro del sistema, para combatir la economía informal y garantizar su protección social.</w:t>
      </w:r>
    </w:p>
    <w:p w:rsidR="00B34A64" w:rsidRPr="00B34A64" w:rsidRDefault="00B34A64" w:rsidP="00B34A64">
      <w:pPr>
        <w:shd w:val="clear" w:color="auto" w:fill="FFFFFF"/>
        <w:spacing w:after="390" w:line="390" w:lineRule="atLeast"/>
        <w:rPr>
          <w:rFonts w:ascii="Verdana" w:eastAsia="Times New Roman" w:hAnsi="Verdana" w:cs="Times New Roman"/>
          <w:b/>
          <w:color w:val="222222"/>
          <w:sz w:val="23"/>
          <w:szCs w:val="23"/>
          <w:lang w:val="es-AR"/>
        </w:rPr>
      </w:pPr>
      <w:r w:rsidRPr="00B34A64">
        <w:rPr>
          <w:rFonts w:ascii="Verdana" w:eastAsia="Times New Roman" w:hAnsi="Verdana" w:cs="Times New Roman"/>
          <w:color w:val="222222"/>
          <w:sz w:val="23"/>
          <w:szCs w:val="23"/>
          <w:lang w:val="es-AR"/>
        </w:rPr>
        <w:lastRenderedPageBreak/>
        <w:t>De hecho, se refiere a la </w:t>
      </w:r>
      <w:hyperlink r:id="rId17" w:tgtFrame="_blank" w:history="1">
        <w:r w:rsidRPr="00B34A64">
          <w:rPr>
            <w:rFonts w:ascii="Verdana" w:eastAsia="Times New Roman" w:hAnsi="Verdana" w:cs="Times New Roman"/>
            <w:color w:val="3949AB"/>
            <w:sz w:val="23"/>
            <w:szCs w:val="23"/>
            <w:lang w:val="es-AR"/>
          </w:rPr>
          <w:t>sentencia del Tribunal Supremo</w:t>
        </w:r>
      </w:hyperlink>
      <w:r w:rsidRPr="00B34A64">
        <w:rPr>
          <w:rFonts w:ascii="Verdana" w:eastAsia="Times New Roman" w:hAnsi="Verdana" w:cs="Times New Roman"/>
          <w:color w:val="222222"/>
          <w:sz w:val="23"/>
          <w:szCs w:val="23"/>
          <w:lang w:val="es-AR"/>
        </w:rPr>
        <w:t> que reconoce la existencia de una relación laboral entre </w:t>
      </w:r>
      <w:proofErr w:type="spellStart"/>
      <w:r w:rsidRPr="00B34A64">
        <w:rPr>
          <w:rFonts w:ascii="Verdana" w:eastAsia="Times New Roman" w:hAnsi="Verdana" w:cs="Times New Roman"/>
          <w:color w:val="222222"/>
          <w:sz w:val="23"/>
          <w:szCs w:val="23"/>
        </w:rPr>
        <w:fldChar w:fldCharType="begin"/>
      </w:r>
      <w:r w:rsidRPr="00B34A64">
        <w:rPr>
          <w:rFonts w:ascii="Verdana" w:eastAsia="Times New Roman" w:hAnsi="Verdana" w:cs="Times New Roman"/>
          <w:color w:val="222222"/>
          <w:sz w:val="23"/>
          <w:szCs w:val="23"/>
          <w:lang w:val="es-AR"/>
        </w:rPr>
        <w:instrText xml:space="preserve"> HYPERLINK "https://es.wikipedia.org/wiki/Glovo" \t "_blank" </w:instrText>
      </w:r>
      <w:r w:rsidRPr="00B34A64">
        <w:rPr>
          <w:rFonts w:ascii="Verdana" w:eastAsia="Times New Roman" w:hAnsi="Verdana" w:cs="Times New Roman"/>
          <w:color w:val="222222"/>
          <w:sz w:val="23"/>
          <w:szCs w:val="23"/>
        </w:rPr>
        <w:fldChar w:fldCharType="separate"/>
      </w:r>
      <w:r w:rsidRPr="00B34A64">
        <w:rPr>
          <w:rFonts w:ascii="Verdana" w:eastAsia="Times New Roman" w:hAnsi="Verdana" w:cs="Times New Roman"/>
          <w:color w:val="3949AB"/>
          <w:sz w:val="23"/>
          <w:szCs w:val="23"/>
          <w:lang w:val="es-AR"/>
        </w:rPr>
        <w:t>Glovo</w:t>
      </w:r>
      <w:proofErr w:type="spellEnd"/>
      <w:r w:rsidRPr="00B34A64">
        <w:rPr>
          <w:rFonts w:ascii="Verdana" w:eastAsia="Times New Roman" w:hAnsi="Verdana" w:cs="Times New Roman"/>
          <w:color w:val="222222"/>
          <w:sz w:val="23"/>
          <w:szCs w:val="23"/>
        </w:rPr>
        <w:fldChar w:fldCharType="end"/>
      </w:r>
      <w:r w:rsidRPr="00B34A64">
        <w:rPr>
          <w:rFonts w:ascii="Verdana" w:eastAsia="Times New Roman" w:hAnsi="Verdana" w:cs="Times New Roman"/>
          <w:color w:val="222222"/>
          <w:sz w:val="23"/>
          <w:szCs w:val="23"/>
          <w:lang w:val="es-AR"/>
        </w:rPr>
        <w:t xml:space="preserve"> y sus repartidores. </w:t>
      </w:r>
      <w:r w:rsidRPr="00B34A64">
        <w:rPr>
          <w:rFonts w:ascii="Verdana" w:eastAsia="Times New Roman" w:hAnsi="Verdana" w:cs="Times New Roman"/>
          <w:b/>
          <w:color w:val="222222"/>
          <w:sz w:val="23"/>
          <w:szCs w:val="23"/>
          <w:lang w:val="es-AR"/>
        </w:rPr>
        <w:t xml:space="preserve">A este respecto, señala que, si la revolución tecnológica implica un incremento de la </w:t>
      </w:r>
      <w:proofErr w:type="gramStart"/>
      <w:r w:rsidRPr="00B34A64">
        <w:rPr>
          <w:rFonts w:ascii="Verdana" w:eastAsia="Times New Roman" w:hAnsi="Verdana" w:cs="Times New Roman"/>
          <w:b/>
          <w:color w:val="222222"/>
          <w:sz w:val="23"/>
          <w:szCs w:val="23"/>
          <w:lang w:val="es-AR"/>
        </w:rPr>
        <w:t>productividad</w:t>
      </w:r>
      <w:proofErr w:type="gramEnd"/>
      <w:r w:rsidRPr="00B34A64">
        <w:rPr>
          <w:rFonts w:ascii="Verdana" w:eastAsia="Times New Roman" w:hAnsi="Verdana" w:cs="Times New Roman"/>
          <w:b/>
          <w:color w:val="222222"/>
          <w:sz w:val="23"/>
          <w:szCs w:val="23"/>
          <w:lang w:val="es-AR"/>
        </w:rPr>
        <w:t xml:space="preserve"> pero no necesariamente un aumento del empleo, el reto pasa por encontrar mecanismos innovadores que complementen la financiación de la Seguridad Social, más allá de las cotizaciones sociales.</w:t>
      </w:r>
    </w:p>
    <w:p w:rsidR="0054249D" w:rsidRPr="00B34A64" w:rsidRDefault="0054249D">
      <w:pPr>
        <w:rPr>
          <w:lang w:val="es-AR"/>
        </w:rPr>
      </w:pPr>
      <w:bookmarkStart w:id="0" w:name="_GoBack"/>
      <w:bookmarkEnd w:id="0"/>
    </w:p>
    <w:sectPr w:rsidR="0054249D" w:rsidRPr="00B34A6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Slab">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F151B"/>
    <w:multiLevelType w:val="multilevel"/>
    <w:tmpl w:val="E052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164827"/>
    <w:multiLevelType w:val="multilevel"/>
    <w:tmpl w:val="65A25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7B3B2F"/>
    <w:multiLevelType w:val="multilevel"/>
    <w:tmpl w:val="7E6EE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5E1724"/>
    <w:multiLevelType w:val="multilevel"/>
    <w:tmpl w:val="FA8A2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CC0F92"/>
    <w:multiLevelType w:val="multilevel"/>
    <w:tmpl w:val="0C2C5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A64"/>
    <w:rsid w:val="002D3CEB"/>
    <w:rsid w:val="0054249D"/>
    <w:rsid w:val="00601F8F"/>
    <w:rsid w:val="009749BD"/>
    <w:rsid w:val="00AB3DE1"/>
    <w:rsid w:val="00B34A64"/>
    <w:rsid w:val="00D20C8B"/>
    <w:rsid w:val="00DA423C"/>
    <w:rsid w:val="00E21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8155F-7EF6-4465-B922-CC2917F84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B34A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qFormat/>
    <w:rsid w:val="00B34A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4A64"/>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rsid w:val="00B34A64"/>
    <w:rPr>
      <w:rFonts w:ascii="Times New Roman" w:eastAsia="Times New Roman" w:hAnsi="Times New Roman" w:cs="Times New Roman"/>
      <w:b/>
      <w:bCs/>
      <w:sz w:val="36"/>
      <w:szCs w:val="36"/>
    </w:rPr>
  </w:style>
  <w:style w:type="paragraph" w:customStyle="1" w:styleId="td-post-sub-title">
    <w:name w:val="td-post-sub-title"/>
    <w:basedOn w:val="Normal"/>
    <w:rsid w:val="00B34A64"/>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B34A64"/>
    <w:rPr>
      <w:color w:val="0000FF"/>
      <w:u w:val="single"/>
    </w:rPr>
  </w:style>
  <w:style w:type="character" w:customStyle="1" w:styleId="td-post-date">
    <w:name w:val="td-post-date"/>
    <w:basedOn w:val="Fuentedeprrafopredeter"/>
    <w:rsid w:val="00B34A64"/>
  </w:style>
  <w:style w:type="character" w:customStyle="1" w:styleId="a2alabel">
    <w:name w:val="a2a_label"/>
    <w:basedOn w:val="Fuentedeprrafopredeter"/>
    <w:rsid w:val="00B34A64"/>
  </w:style>
  <w:style w:type="paragraph" w:styleId="NormalWeb">
    <w:name w:val="Normal (Web)"/>
    <w:basedOn w:val="Normal"/>
    <w:uiPriority w:val="99"/>
    <w:semiHidden/>
    <w:unhideWhenUsed/>
    <w:rsid w:val="00B34A64"/>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B34A64"/>
    <w:rPr>
      <w:b/>
      <w:bCs/>
    </w:rPr>
  </w:style>
  <w:style w:type="character" w:styleId="nfasis">
    <w:name w:val="Emphasis"/>
    <w:basedOn w:val="Fuentedeprrafopredeter"/>
    <w:uiPriority w:val="20"/>
    <w:qFormat/>
    <w:rsid w:val="00B34A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504867">
      <w:bodyDiv w:val="1"/>
      <w:marLeft w:val="0"/>
      <w:marRight w:val="0"/>
      <w:marTop w:val="0"/>
      <w:marBottom w:val="0"/>
      <w:divBdr>
        <w:top w:val="none" w:sz="0" w:space="0" w:color="auto"/>
        <w:left w:val="none" w:sz="0" w:space="0" w:color="auto"/>
        <w:bottom w:val="none" w:sz="0" w:space="0" w:color="auto"/>
        <w:right w:val="none" w:sz="0" w:space="0" w:color="auto"/>
      </w:divBdr>
      <w:divsChild>
        <w:div w:id="1775713814">
          <w:marLeft w:val="0"/>
          <w:marRight w:val="0"/>
          <w:marTop w:val="0"/>
          <w:marBottom w:val="0"/>
          <w:divBdr>
            <w:top w:val="none" w:sz="0" w:space="0" w:color="auto"/>
            <w:left w:val="none" w:sz="0" w:space="0" w:color="auto"/>
            <w:bottom w:val="none" w:sz="0" w:space="0" w:color="auto"/>
            <w:right w:val="none" w:sz="0" w:space="0" w:color="auto"/>
          </w:divBdr>
          <w:divsChild>
            <w:div w:id="493453197">
              <w:marLeft w:val="0"/>
              <w:marRight w:val="0"/>
              <w:marTop w:val="0"/>
              <w:marBottom w:val="75"/>
              <w:divBdr>
                <w:top w:val="none" w:sz="0" w:space="0" w:color="auto"/>
                <w:left w:val="none" w:sz="0" w:space="0" w:color="auto"/>
                <w:bottom w:val="none" w:sz="0" w:space="0" w:color="auto"/>
                <w:right w:val="none" w:sz="0" w:space="0" w:color="auto"/>
              </w:divBdr>
              <w:divsChild>
                <w:div w:id="1551915585">
                  <w:marLeft w:val="0"/>
                  <w:marRight w:val="0"/>
                  <w:marTop w:val="0"/>
                  <w:marBottom w:val="0"/>
                  <w:divBdr>
                    <w:top w:val="none" w:sz="0" w:space="0" w:color="auto"/>
                    <w:left w:val="none" w:sz="0" w:space="0" w:color="auto"/>
                    <w:bottom w:val="none" w:sz="0" w:space="0" w:color="auto"/>
                    <w:right w:val="none" w:sz="0" w:space="0" w:color="auto"/>
                  </w:divBdr>
                  <w:divsChild>
                    <w:div w:id="66075933">
                      <w:marLeft w:val="0"/>
                      <w:marRight w:val="30"/>
                      <w:marTop w:val="0"/>
                      <w:marBottom w:val="0"/>
                      <w:divBdr>
                        <w:top w:val="none" w:sz="0" w:space="0" w:color="auto"/>
                        <w:left w:val="none" w:sz="0" w:space="0" w:color="auto"/>
                        <w:bottom w:val="none" w:sz="0" w:space="0" w:color="auto"/>
                        <w:right w:val="none" w:sz="0" w:space="0" w:color="auto"/>
                      </w:divBdr>
                    </w:div>
                    <w:div w:id="659626505">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866874471">
          <w:marLeft w:val="0"/>
          <w:marRight w:val="0"/>
          <w:marTop w:val="0"/>
          <w:marBottom w:val="0"/>
          <w:divBdr>
            <w:top w:val="none" w:sz="0" w:space="0" w:color="auto"/>
            <w:left w:val="none" w:sz="0" w:space="0" w:color="auto"/>
            <w:bottom w:val="none" w:sz="0" w:space="0" w:color="auto"/>
            <w:right w:val="none" w:sz="0" w:space="0" w:color="auto"/>
          </w:divBdr>
          <w:divsChild>
            <w:div w:id="1130249098">
              <w:marLeft w:val="0"/>
              <w:marRight w:val="0"/>
              <w:marTop w:val="0"/>
              <w:marBottom w:val="0"/>
              <w:divBdr>
                <w:top w:val="none" w:sz="0" w:space="0" w:color="auto"/>
                <w:left w:val="none" w:sz="0" w:space="0" w:color="auto"/>
                <w:bottom w:val="none" w:sz="0" w:space="0" w:color="auto"/>
                <w:right w:val="none" w:sz="0" w:space="0" w:color="auto"/>
              </w:divBdr>
              <w:divsChild>
                <w:div w:id="541865562">
                  <w:marLeft w:val="0"/>
                  <w:marRight w:val="0"/>
                  <w:marTop w:val="0"/>
                  <w:marBottom w:val="0"/>
                  <w:divBdr>
                    <w:top w:val="none" w:sz="0" w:space="0" w:color="auto"/>
                    <w:left w:val="none" w:sz="0" w:space="0" w:color="auto"/>
                    <w:bottom w:val="none" w:sz="0" w:space="0" w:color="auto"/>
                    <w:right w:val="none" w:sz="0" w:space="0" w:color="auto"/>
                  </w:divBdr>
                  <w:divsChild>
                    <w:div w:id="859511937">
                      <w:marLeft w:val="0"/>
                      <w:marRight w:val="0"/>
                      <w:marTop w:val="0"/>
                      <w:marBottom w:val="0"/>
                      <w:divBdr>
                        <w:top w:val="none" w:sz="0" w:space="0" w:color="auto"/>
                        <w:left w:val="none" w:sz="0" w:space="0" w:color="auto"/>
                        <w:bottom w:val="none" w:sz="0" w:space="0" w:color="auto"/>
                        <w:right w:val="none" w:sz="0" w:space="0" w:color="auto"/>
                      </w:divBdr>
                      <w:divsChild>
                        <w:div w:id="1159927280">
                          <w:marLeft w:val="0"/>
                          <w:marRight w:val="0"/>
                          <w:marTop w:val="0"/>
                          <w:marBottom w:val="0"/>
                          <w:divBdr>
                            <w:top w:val="none" w:sz="0" w:space="0" w:color="auto"/>
                            <w:left w:val="none" w:sz="0" w:space="0" w:color="auto"/>
                            <w:bottom w:val="none" w:sz="0" w:space="0" w:color="auto"/>
                            <w:right w:val="none" w:sz="0" w:space="0" w:color="auto"/>
                          </w:divBdr>
                          <w:divsChild>
                            <w:div w:id="2138404637">
                              <w:marLeft w:val="0"/>
                              <w:marRight w:val="0"/>
                              <w:marTop w:val="315"/>
                              <w:marBottom w:val="0"/>
                              <w:divBdr>
                                <w:top w:val="none" w:sz="0" w:space="0" w:color="auto"/>
                                <w:left w:val="none" w:sz="0" w:space="0" w:color="auto"/>
                                <w:bottom w:val="none" w:sz="0" w:space="0" w:color="auto"/>
                                <w:right w:val="none" w:sz="0" w:space="0" w:color="auto"/>
                              </w:divBdr>
                              <w:divsChild>
                                <w:div w:id="1099447187">
                                  <w:marLeft w:val="0"/>
                                  <w:marRight w:val="0"/>
                                  <w:marTop w:val="240"/>
                                  <w:marBottom w:val="240"/>
                                  <w:divBdr>
                                    <w:top w:val="none" w:sz="0" w:space="0" w:color="auto"/>
                                    <w:left w:val="none" w:sz="0" w:space="0" w:color="auto"/>
                                    <w:bottom w:val="none" w:sz="0" w:space="0" w:color="auto"/>
                                    <w:right w:val="none" w:sz="0" w:space="0" w:color="auto"/>
                                  </w:divBdr>
                                  <w:divsChild>
                                    <w:div w:id="1523284145">
                                      <w:marLeft w:val="0"/>
                                      <w:marRight w:val="0"/>
                                      <w:marTop w:val="0"/>
                                      <w:marBottom w:val="0"/>
                                      <w:divBdr>
                                        <w:top w:val="none" w:sz="0" w:space="0" w:color="auto"/>
                                        <w:left w:val="none" w:sz="0" w:space="0" w:color="auto"/>
                                        <w:bottom w:val="none" w:sz="0" w:space="0" w:color="auto"/>
                                        <w:right w:val="none" w:sz="0" w:space="0" w:color="auto"/>
                                      </w:divBdr>
                                    </w:div>
                                  </w:divsChild>
                                </w:div>
                                <w:div w:id="911892234">
                                  <w:marLeft w:val="0"/>
                                  <w:marRight w:val="0"/>
                                  <w:marTop w:val="0"/>
                                  <w:marBottom w:val="0"/>
                                  <w:divBdr>
                                    <w:top w:val="none" w:sz="0" w:space="0" w:color="auto"/>
                                    <w:left w:val="none" w:sz="0" w:space="0" w:color="auto"/>
                                    <w:bottom w:val="none" w:sz="0" w:space="0" w:color="auto"/>
                                    <w:right w:val="none" w:sz="0" w:space="0" w:color="auto"/>
                                  </w:divBdr>
                                  <w:divsChild>
                                    <w:div w:id="653417690">
                                      <w:marLeft w:val="0"/>
                                      <w:marRight w:val="0"/>
                                      <w:marTop w:val="0"/>
                                      <w:marBottom w:val="0"/>
                                      <w:divBdr>
                                        <w:top w:val="none" w:sz="0" w:space="0" w:color="auto"/>
                                        <w:left w:val="none" w:sz="0" w:space="0" w:color="auto"/>
                                        <w:bottom w:val="none" w:sz="0" w:space="0" w:color="auto"/>
                                        <w:right w:val="none" w:sz="0" w:space="0" w:color="auto"/>
                                      </w:divBdr>
                                      <w:divsChild>
                                        <w:div w:id="1818568781">
                                          <w:marLeft w:val="0"/>
                                          <w:marRight w:val="0"/>
                                          <w:marTop w:val="300"/>
                                          <w:marBottom w:val="300"/>
                                          <w:divBdr>
                                            <w:top w:val="none" w:sz="0" w:space="0" w:color="auto"/>
                                            <w:left w:val="none" w:sz="0" w:space="0" w:color="auto"/>
                                            <w:bottom w:val="none" w:sz="0" w:space="0" w:color="auto"/>
                                            <w:right w:val="none" w:sz="0" w:space="0" w:color="auto"/>
                                          </w:divBdr>
                                          <w:divsChild>
                                            <w:div w:id="1161585050">
                                              <w:marLeft w:val="0"/>
                                              <w:marRight w:val="0"/>
                                              <w:marTop w:val="0"/>
                                              <w:marBottom w:val="0"/>
                                              <w:divBdr>
                                                <w:top w:val="none" w:sz="0" w:space="0" w:color="auto"/>
                                                <w:left w:val="none" w:sz="0" w:space="0" w:color="auto"/>
                                                <w:bottom w:val="none" w:sz="0" w:space="0" w:color="auto"/>
                                                <w:right w:val="none" w:sz="0" w:space="0" w:color="auto"/>
                                              </w:divBdr>
                                              <w:divsChild>
                                                <w:div w:id="631642012">
                                                  <w:marLeft w:val="0"/>
                                                  <w:marRight w:val="0"/>
                                                  <w:marTop w:val="0"/>
                                                  <w:marBottom w:val="0"/>
                                                  <w:divBdr>
                                                    <w:top w:val="none" w:sz="0" w:space="0" w:color="auto"/>
                                                    <w:left w:val="none" w:sz="0" w:space="0" w:color="auto"/>
                                                    <w:bottom w:val="none" w:sz="0" w:space="0" w:color="auto"/>
                                                    <w:right w:val="none" w:sz="0" w:space="0" w:color="auto"/>
                                                  </w:divBdr>
                                                  <w:divsChild>
                                                    <w:div w:id="43352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nkinter.com/blog/finanzas-personales/que-son-planes-pensiones-empleo-ppe" TargetMode="External"/><Relationship Id="rId13" Type="http://schemas.openxmlformats.org/officeDocument/2006/relationships/hyperlink" Target="https://es.wikipedia.org/wiki/Fondo_de_Reserva_de_la_Seguridad_Socia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tve.es/noticias/20201027/pensiones-pacto-toledo-recomendaciones/2049465.shtml" TargetMode="External"/><Relationship Id="rId12" Type="http://schemas.openxmlformats.org/officeDocument/2006/relationships/hyperlink" Target="https://www.efe.com/efe/espana/economia/escriva-urge-al-acuerdo-para-subir-las-pensiones-con-un-marco-estable-en-2021/10003-4338937" TargetMode="External"/><Relationship Id="rId17" Type="http://schemas.openxmlformats.org/officeDocument/2006/relationships/hyperlink" Target="http://www.poderjudicial.es/cgpj/es/Poder-Judicial/Tribunal-Supremo/Noticias-Judiciales/El-Tribunal-Supremo-declara-la-existencia-de-la-relacion-laboral-entre-Glovo-y-un-repartidor" TargetMode="External"/><Relationship Id="rId2" Type="http://schemas.openxmlformats.org/officeDocument/2006/relationships/styles" Target="styles.xml"/><Relationship Id="rId16" Type="http://schemas.openxmlformats.org/officeDocument/2006/relationships/hyperlink" Target="https://www.efe.com/efe/espana/efeemprende/sabes-que-es-un-falso-autonomo/50000911-3642775" TargetMode="External"/><Relationship Id="rId1" Type="http://schemas.openxmlformats.org/officeDocument/2006/relationships/numbering" Target="numbering.xml"/><Relationship Id="rId6" Type="http://schemas.openxmlformats.org/officeDocument/2006/relationships/hyperlink" Target="http://www.congreso.es/portal/page/portal/Congreso/Congreso/Organos/Comision?_piref73_7498063_73_1339256_1339256.next_page=/wc/detalleInformComisiones?idOrgano=343&amp;idLegislatura=9" TargetMode="External"/><Relationship Id="rId11" Type="http://schemas.openxmlformats.org/officeDocument/2006/relationships/hyperlink" Target="https://revista.seg-social.es/2018/08/22/que-son-los-complementos-a-minimos/" TargetMode="External"/><Relationship Id="rId5" Type="http://schemas.openxmlformats.org/officeDocument/2006/relationships/hyperlink" Target="https://contrainformacion.es/author/redaccion/" TargetMode="External"/><Relationship Id="rId15" Type="http://schemas.openxmlformats.org/officeDocument/2006/relationships/hyperlink" Target="https://www.boe.es/buscar/act.php?id=BOE-A-2015-11724&amp;p=20200930&amp;tn=1" TargetMode="External"/><Relationship Id="rId10" Type="http://schemas.openxmlformats.org/officeDocument/2006/relationships/hyperlink" Target="https://www.efe.com/efe/espana/economia/el-gasto-en-las-pensiones-aumenta-6-4-2019-hasta-suponer-10-8-por-ciento-del-pib/10003-387002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conomipedia.com/definiciones/tasa-de-reemplazo.html" TargetMode="External"/><Relationship Id="rId14" Type="http://schemas.openxmlformats.org/officeDocument/2006/relationships/hyperlink" Target="https://www.autonomosyemprendedor.es/articulo/actualidad/solo-8-autonomos-cotiza-bases-superiores-2000-euros/20191111162833021000.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2175</Words>
  <Characters>12404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2020-10-28T21:16:00Z</dcterms:created>
  <dcterms:modified xsi:type="dcterms:W3CDTF">2020-10-28T21:16:00Z</dcterms:modified>
</cp:coreProperties>
</file>